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eastAsia="仿宋_GB2312"/>
          <w:sz w:val="32"/>
          <w:szCs w:val="32"/>
        </w:rPr>
      </w:pPr>
    </w:p>
    <w:p>
      <w:pPr>
        <w:snapToGrid w:val="0"/>
        <w:spacing w:line="300" w:lineRule="auto"/>
        <w:jc w:val="left"/>
        <w:rPr>
          <w:rFonts w:ascii="宋体" w:hAnsi="宋体" w:eastAsia="宋体"/>
          <w:b/>
          <w:sz w:val="32"/>
          <w:szCs w:val="32"/>
        </w:rPr>
      </w:pPr>
      <w:r>
        <w:rPr>
          <w:rFonts w:hint="eastAsia" w:ascii="宋体" w:hAnsi="宋体" w:eastAsia="宋体"/>
          <w:b/>
          <w:sz w:val="32"/>
          <w:szCs w:val="32"/>
        </w:rPr>
        <w:t>附件</w:t>
      </w: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60" w:lineRule="auto"/>
        <w:jc w:val="center"/>
        <w:rPr>
          <w:b/>
          <w:sz w:val="32"/>
          <w:szCs w:val="32"/>
        </w:rPr>
      </w:pPr>
      <w:r>
        <w:rPr>
          <w:rFonts w:hint="eastAsia"/>
          <w:b/>
          <w:sz w:val="32"/>
          <w:szCs w:val="32"/>
        </w:rPr>
        <w:t>广州市公共交通集团有限公司</w:t>
      </w:r>
    </w:p>
    <w:p>
      <w:pPr>
        <w:pStyle w:val="10"/>
        <w:spacing w:before="240"/>
        <w:ind w:firstLine="0" w:firstLineChars="0"/>
        <w:jc w:val="center"/>
        <w:rPr>
          <w:rFonts w:ascii="宋体" w:hAnsi="宋体" w:eastAsia="宋体"/>
          <w:b/>
          <w:sz w:val="32"/>
          <w:szCs w:val="32"/>
        </w:rPr>
      </w:pPr>
      <w:r>
        <w:rPr>
          <w:rFonts w:hint="eastAsia" w:ascii="宋体" w:hAnsi="宋体" w:eastAsia="宋体"/>
          <w:b/>
          <w:sz w:val="32"/>
          <w:szCs w:val="32"/>
        </w:rPr>
        <w:t>大数据共享与管理平台项目监理采购项目</w:t>
      </w:r>
    </w:p>
    <w:p>
      <w:pPr>
        <w:snapToGrid w:val="0"/>
        <w:spacing w:line="300" w:lineRule="auto"/>
        <w:jc w:val="center"/>
        <w:rPr>
          <w:b/>
        </w:rPr>
      </w:pPr>
      <w:bookmarkStart w:id="0" w:name="OLE_LINK8"/>
      <w:bookmarkStart w:id="1" w:name="OLE_LINK7"/>
    </w:p>
    <w:bookmarkEnd w:id="0"/>
    <w:bookmarkEnd w:id="1"/>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rFonts w:cs="Arial"/>
          <w:b/>
          <w:bCs/>
          <w:color w:val="000000"/>
          <w:spacing w:val="140"/>
          <w:sz w:val="84"/>
          <w:szCs w:val="84"/>
        </w:rPr>
      </w:pPr>
      <w:bookmarkStart w:id="2" w:name="_Toc299012333"/>
      <w:bookmarkStart w:id="3" w:name="OLE_LINK21"/>
      <w:r>
        <w:rPr>
          <w:rFonts w:hint="eastAsia" w:cs="Arial"/>
          <w:b/>
          <w:bCs/>
          <w:color w:val="000000"/>
          <w:spacing w:val="140"/>
          <w:sz w:val="84"/>
          <w:szCs w:val="84"/>
        </w:rPr>
        <w:t>公开比选文件</w:t>
      </w:r>
      <w:bookmarkEnd w:id="2"/>
      <w:bookmarkEnd w:id="3"/>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b/>
        </w:rPr>
      </w:pPr>
    </w:p>
    <w:p>
      <w:pPr>
        <w:snapToGrid w:val="0"/>
        <w:spacing w:line="300" w:lineRule="auto"/>
        <w:jc w:val="center"/>
        <w:rPr>
          <w:color w:val="000000"/>
        </w:rPr>
      </w:pPr>
    </w:p>
    <w:p>
      <w:pPr>
        <w:spacing w:line="360" w:lineRule="auto"/>
        <w:ind w:firstLine="2377" w:firstLineChars="923"/>
        <w:rPr>
          <w:b/>
          <w:color w:val="000000"/>
          <w:sz w:val="28"/>
          <w:szCs w:val="28"/>
        </w:rPr>
      </w:pPr>
    </w:p>
    <w:p>
      <w:pPr>
        <w:spacing w:line="360" w:lineRule="auto"/>
        <w:ind w:firstLine="2255" w:firstLineChars="758"/>
        <w:rPr>
          <w:b/>
          <w:sz w:val="32"/>
          <w:szCs w:val="32"/>
        </w:rPr>
      </w:pPr>
      <w:r>
        <w:rPr>
          <w:rFonts w:hint="eastAsia"/>
          <w:b/>
          <w:sz w:val="32"/>
          <w:szCs w:val="32"/>
        </w:rPr>
        <w:t>比</w:t>
      </w:r>
      <w:r>
        <w:rPr>
          <w:b/>
          <w:sz w:val="32"/>
          <w:szCs w:val="32"/>
        </w:rPr>
        <w:t xml:space="preserve">  </w:t>
      </w:r>
      <w:r>
        <w:rPr>
          <w:rFonts w:hint="eastAsia"/>
          <w:b/>
          <w:sz w:val="32"/>
          <w:szCs w:val="32"/>
        </w:rPr>
        <w:t>选</w:t>
      </w:r>
      <w:r>
        <w:rPr>
          <w:b/>
          <w:sz w:val="32"/>
          <w:szCs w:val="32"/>
        </w:rPr>
        <w:t xml:space="preserve">  </w:t>
      </w:r>
      <w:r>
        <w:rPr>
          <w:rFonts w:hint="eastAsia"/>
          <w:b/>
          <w:sz w:val="32"/>
          <w:szCs w:val="32"/>
        </w:rPr>
        <w:t>人</w:t>
      </w:r>
      <w:r>
        <w:rPr>
          <w:b/>
          <w:sz w:val="32"/>
          <w:szCs w:val="32"/>
        </w:rPr>
        <w:t>:</w:t>
      </w:r>
      <w:r>
        <w:rPr>
          <w:rFonts w:hint="eastAsia"/>
          <w:b/>
          <w:sz w:val="32"/>
          <w:szCs w:val="32"/>
        </w:rPr>
        <w:t>广州市公共交通集团有限公司</w:t>
      </w:r>
    </w:p>
    <w:p>
      <w:pPr>
        <w:spacing w:line="360" w:lineRule="auto"/>
        <w:ind w:firstLine="2369" w:firstLineChars="920"/>
        <w:rPr>
          <w:b/>
          <w:color w:val="000000"/>
          <w:sz w:val="28"/>
          <w:szCs w:val="28"/>
        </w:rPr>
      </w:pPr>
    </w:p>
    <w:p>
      <w:pPr>
        <w:spacing w:line="360" w:lineRule="auto"/>
        <w:ind w:firstLine="2369" w:firstLineChars="920"/>
        <w:rPr>
          <w:b/>
          <w:color w:val="000000"/>
          <w:sz w:val="28"/>
          <w:szCs w:val="28"/>
        </w:rPr>
        <w:sectPr>
          <w:headerReference r:id="rId3" w:type="default"/>
          <w:headerReference r:id="rId4" w:type="even"/>
          <w:pgSz w:w="11906" w:h="16838"/>
          <w:pgMar w:top="1361" w:right="1191" w:bottom="1191" w:left="1361" w:header="851" w:footer="992" w:gutter="0"/>
          <w:cols w:space="720" w:num="1"/>
          <w:titlePg/>
          <w:docGrid w:type="linesAndChars" w:linePitch="386" w:charSpace="-4601"/>
        </w:sectPr>
      </w:pPr>
      <w:r>
        <w:rPr>
          <w:rFonts w:hint="eastAsia"/>
          <w:b/>
          <w:color w:val="000000"/>
          <w:sz w:val="28"/>
          <w:szCs w:val="28"/>
        </w:rPr>
        <w:t>日</w:t>
      </w:r>
      <w:r>
        <w:rPr>
          <w:b/>
          <w:color w:val="000000"/>
          <w:sz w:val="28"/>
          <w:szCs w:val="28"/>
        </w:rPr>
        <w:t xml:space="preserve">      </w:t>
      </w:r>
      <w:r>
        <w:rPr>
          <w:rFonts w:hint="eastAsia"/>
          <w:b/>
          <w:color w:val="000000"/>
          <w:sz w:val="28"/>
          <w:szCs w:val="28"/>
        </w:rPr>
        <w:t>期：</w:t>
      </w:r>
      <w:r>
        <w:rPr>
          <w:b/>
          <w:color w:val="000000"/>
          <w:sz w:val="28"/>
          <w:szCs w:val="28"/>
        </w:rPr>
        <w:fldChar w:fldCharType="begin"/>
      </w:r>
      <w:r>
        <w:rPr>
          <w:b/>
          <w:color w:val="000000"/>
          <w:sz w:val="28"/>
          <w:szCs w:val="28"/>
        </w:rPr>
        <w:instrText xml:space="preserve"> MACROBUTTON EMPTY[</w:instrText>
      </w:r>
      <w:r>
        <w:rPr>
          <w:rFonts w:hint="eastAsia"/>
          <w:b/>
          <w:color w:val="000000"/>
          <w:sz w:val="28"/>
          <w:szCs w:val="28"/>
        </w:rPr>
        <w:instrText xml:space="preserve">单击填写日期</w:instrText>
      </w:r>
      <w:r>
        <w:rPr>
          <w:b/>
          <w:color w:val="000000"/>
          <w:sz w:val="28"/>
          <w:szCs w:val="28"/>
        </w:rPr>
        <w:instrText xml:space="preserve">] </w:instrText>
      </w:r>
      <w:r>
        <w:rPr>
          <w:b/>
          <w:color w:val="000000"/>
          <w:sz w:val="28"/>
          <w:szCs w:val="28"/>
        </w:rPr>
        <w:fldChar w:fldCharType="end"/>
      </w:r>
      <w:r>
        <w:rPr>
          <w:rFonts w:hint="eastAsia"/>
          <w:b/>
          <w:color w:val="000000"/>
          <w:sz w:val="28"/>
          <w:szCs w:val="28"/>
        </w:rPr>
        <w:t xml:space="preserve">    201</w:t>
      </w:r>
      <w:r>
        <w:rPr>
          <w:b/>
          <w:color w:val="000000"/>
          <w:sz w:val="28"/>
          <w:szCs w:val="28"/>
        </w:rPr>
        <w:t>9</w:t>
      </w:r>
      <w:r>
        <w:rPr>
          <w:rFonts w:hint="eastAsia"/>
          <w:b/>
          <w:color w:val="000000"/>
          <w:sz w:val="28"/>
          <w:szCs w:val="28"/>
        </w:rPr>
        <w:t>年</w:t>
      </w:r>
      <w:r>
        <w:rPr>
          <w:b/>
          <w:color w:val="000000"/>
          <w:sz w:val="28"/>
          <w:szCs w:val="28"/>
        </w:rPr>
        <w:t>9</w:t>
      </w:r>
      <w:r>
        <w:rPr>
          <w:rFonts w:hint="eastAsia"/>
          <w:b/>
          <w:color w:val="000000"/>
          <w:sz w:val="28"/>
          <w:szCs w:val="28"/>
        </w:rPr>
        <w:t>月2</w:t>
      </w:r>
      <w:r>
        <w:rPr>
          <w:b/>
          <w:color w:val="000000"/>
          <w:sz w:val="28"/>
          <w:szCs w:val="28"/>
        </w:rPr>
        <w:t>9</w:t>
      </w:r>
      <w:r>
        <w:rPr>
          <w:rFonts w:hint="eastAsia"/>
          <w:b/>
          <w:color w:val="000000"/>
          <w:sz w:val="28"/>
          <w:szCs w:val="28"/>
        </w:rPr>
        <w:t>日</w:t>
      </w:r>
    </w:p>
    <w:p>
      <w:pPr>
        <w:spacing w:line="300" w:lineRule="auto"/>
        <w:jc w:val="center"/>
        <w:rPr>
          <w:b/>
          <w:color w:val="000000"/>
          <w:sz w:val="36"/>
          <w:szCs w:val="36"/>
        </w:rPr>
      </w:pPr>
      <w:bookmarkStart w:id="4" w:name="_Toc299012334"/>
      <w:r>
        <w:rPr>
          <w:rFonts w:hint="eastAsia"/>
          <w:b/>
          <w:color w:val="000000"/>
          <w:sz w:val="36"/>
          <w:szCs w:val="36"/>
        </w:rPr>
        <w:t>目</w:t>
      </w:r>
      <w:r>
        <w:rPr>
          <w:b/>
          <w:color w:val="000000"/>
          <w:sz w:val="36"/>
          <w:szCs w:val="36"/>
        </w:rPr>
        <w:t xml:space="preserve"> </w:t>
      </w:r>
      <w:r>
        <w:rPr>
          <w:rFonts w:hint="eastAsia"/>
          <w:b/>
          <w:color w:val="000000"/>
          <w:sz w:val="36"/>
          <w:szCs w:val="36"/>
        </w:rPr>
        <w:t>录</w:t>
      </w:r>
      <w:bookmarkEnd w:id="4"/>
    </w:p>
    <w:p>
      <w:pPr>
        <w:pStyle w:val="11"/>
        <w:spacing w:line="360" w:lineRule="auto"/>
        <w:rPr>
          <w:rFonts w:ascii="宋体" w:hAnsi="宋体"/>
          <w:bCs/>
          <w:caps/>
          <w:sz w:val="28"/>
          <w:szCs w:val="28"/>
        </w:rPr>
      </w:pPr>
      <w:r>
        <w:rPr>
          <w:rFonts w:ascii="宋体" w:hAnsi="宋体"/>
          <w:kern w:val="0"/>
          <w:sz w:val="28"/>
          <w:szCs w:val="28"/>
        </w:rPr>
        <w:fldChar w:fldCharType="begin"/>
      </w:r>
      <w:r>
        <w:rPr>
          <w:rFonts w:ascii="宋体" w:hAnsi="宋体"/>
          <w:kern w:val="0"/>
          <w:sz w:val="28"/>
          <w:szCs w:val="28"/>
        </w:rPr>
        <w:instrText xml:space="preserve"> TOC \o "1-2" \h \z \u </w:instrText>
      </w:r>
      <w:r>
        <w:rPr>
          <w:rFonts w:ascii="宋体" w:hAnsi="宋体"/>
          <w:kern w:val="0"/>
          <w:sz w:val="28"/>
          <w:szCs w:val="28"/>
        </w:rPr>
        <w:fldChar w:fldCharType="separate"/>
      </w:r>
      <w:r>
        <w:fldChar w:fldCharType="begin"/>
      </w:r>
      <w:r>
        <w:instrText xml:space="preserve">HYPERLINK \l "_Toc406932415"</w:instrText>
      </w:r>
      <w:r>
        <w:fldChar w:fldCharType="separate"/>
      </w:r>
      <w:r>
        <w:rPr>
          <w:rStyle w:val="8"/>
          <w:rFonts w:hint="eastAsia" w:ascii="宋体" w:hAnsi="宋体"/>
          <w:bCs/>
          <w:sz w:val="28"/>
          <w:szCs w:val="28"/>
        </w:rPr>
        <w:t>第一章</w:t>
      </w:r>
      <w:r>
        <w:rPr>
          <w:rFonts w:ascii="宋体" w:hAnsi="宋体"/>
          <w:bCs/>
          <w:caps/>
          <w:sz w:val="28"/>
          <w:szCs w:val="28"/>
        </w:rPr>
        <w:tab/>
      </w:r>
      <w:r>
        <w:rPr>
          <w:rStyle w:val="8"/>
          <w:rFonts w:hint="eastAsia" w:ascii="宋体" w:hAnsi="宋体"/>
          <w:bCs/>
          <w:sz w:val="28"/>
          <w:szCs w:val="28"/>
        </w:rPr>
        <w:t>比选公告</w:t>
      </w:r>
      <w:r>
        <w:rPr>
          <w:rFonts w:ascii="宋体" w:hAnsi="宋体"/>
          <w:bCs/>
          <w:sz w:val="28"/>
          <w:szCs w:val="28"/>
        </w:rPr>
        <w:tab/>
      </w:r>
      <w:r>
        <w:rPr>
          <w:rFonts w:ascii="宋体" w:hAnsi="宋体"/>
          <w:bCs/>
          <w:sz w:val="28"/>
          <w:szCs w:val="28"/>
        </w:rPr>
        <w:fldChar w:fldCharType="begin"/>
      </w:r>
      <w:r>
        <w:rPr>
          <w:rFonts w:ascii="宋体" w:hAnsi="宋体"/>
          <w:bCs/>
          <w:sz w:val="28"/>
          <w:szCs w:val="28"/>
        </w:rPr>
        <w:instrText xml:space="preserve"> PAGEREF _Toc406932415 \h </w:instrText>
      </w:r>
      <w:r>
        <w:rPr>
          <w:rFonts w:ascii="宋体" w:hAnsi="宋体"/>
          <w:bCs/>
          <w:sz w:val="28"/>
          <w:szCs w:val="28"/>
        </w:rPr>
        <w:fldChar w:fldCharType="separate"/>
      </w:r>
      <w:r>
        <w:rPr>
          <w:rFonts w:ascii="宋体" w:hAnsi="宋体"/>
          <w:bCs/>
          <w:sz w:val="28"/>
          <w:szCs w:val="28"/>
        </w:rPr>
        <w:t>1</w:t>
      </w:r>
      <w:r>
        <w:rPr>
          <w:rFonts w:ascii="宋体" w:hAnsi="宋体"/>
          <w:bCs/>
          <w:sz w:val="28"/>
          <w:szCs w:val="28"/>
        </w:rPr>
        <w:fldChar w:fldCharType="end"/>
      </w:r>
      <w:r>
        <w:fldChar w:fldCharType="end"/>
      </w:r>
    </w:p>
    <w:p>
      <w:pPr>
        <w:pStyle w:val="11"/>
        <w:spacing w:line="360" w:lineRule="auto"/>
        <w:rPr>
          <w:rFonts w:ascii="宋体" w:hAnsi="宋体"/>
          <w:bCs/>
          <w:caps/>
          <w:sz w:val="28"/>
          <w:szCs w:val="28"/>
        </w:rPr>
      </w:pPr>
      <w:r>
        <w:fldChar w:fldCharType="begin"/>
      </w:r>
      <w:r>
        <w:instrText xml:space="preserve">HYPERLINK \l "_Toc406932416"</w:instrText>
      </w:r>
      <w:r>
        <w:fldChar w:fldCharType="separate"/>
      </w:r>
      <w:r>
        <w:rPr>
          <w:rStyle w:val="8"/>
          <w:rFonts w:hint="eastAsia" w:ascii="宋体" w:hAnsi="宋体"/>
          <w:bCs/>
          <w:sz w:val="28"/>
          <w:szCs w:val="28"/>
        </w:rPr>
        <w:t>第二章</w:t>
      </w:r>
      <w:r>
        <w:rPr>
          <w:rFonts w:ascii="宋体" w:hAnsi="宋体"/>
          <w:bCs/>
          <w:caps/>
          <w:sz w:val="28"/>
          <w:szCs w:val="28"/>
        </w:rPr>
        <w:tab/>
      </w:r>
      <w:r>
        <w:rPr>
          <w:rStyle w:val="8"/>
          <w:rFonts w:hint="eastAsia" w:ascii="宋体" w:hAnsi="宋体"/>
          <w:bCs/>
          <w:sz w:val="28"/>
          <w:szCs w:val="28"/>
        </w:rPr>
        <w:t>报价须知</w:t>
      </w:r>
      <w:r>
        <w:rPr>
          <w:rFonts w:ascii="宋体" w:hAnsi="宋体"/>
          <w:bCs/>
          <w:sz w:val="28"/>
          <w:szCs w:val="28"/>
        </w:rPr>
        <w:tab/>
      </w:r>
      <w:r>
        <w:rPr>
          <w:rFonts w:ascii="宋体" w:hAnsi="宋体"/>
          <w:bCs/>
          <w:sz w:val="28"/>
          <w:szCs w:val="28"/>
        </w:rPr>
        <w:fldChar w:fldCharType="begin"/>
      </w:r>
      <w:r>
        <w:rPr>
          <w:rFonts w:ascii="宋体" w:hAnsi="宋体"/>
          <w:bCs/>
          <w:sz w:val="28"/>
          <w:szCs w:val="28"/>
        </w:rPr>
        <w:instrText xml:space="preserve"> PAGEREF _Toc406932416 \h </w:instrText>
      </w:r>
      <w:r>
        <w:rPr>
          <w:rFonts w:ascii="宋体" w:hAnsi="宋体"/>
          <w:bCs/>
          <w:sz w:val="28"/>
          <w:szCs w:val="28"/>
        </w:rPr>
        <w:fldChar w:fldCharType="separate"/>
      </w:r>
      <w:r>
        <w:rPr>
          <w:rFonts w:ascii="宋体" w:hAnsi="宋体"/>
          <w:bCs/>
          <w:sz w:val="28"/>
          <w:szCs w:val="28"/>
        </w:rPr>
        <w:t>3</w:t>
      </w:r>
      <w:r>
        <w:rPr>
          <w:rFonts w:ascii="宋体" w:hAnsi="宋体"/>
          <w:bCs/>
          <w:sz w:val="28"/>
          <w:szCs w:val="28"/>
        </w:rPr>
        <w:fldChar w:fldCharType="end"/>
      </w:r>
      <w:r>
        <w:fldChar w:fldCharType="end"/>
      </w:r>
    </w:p>
    <w:p>
      <w:pPr>
        <w:pStyle w:val="11"/>
        <w:spacing w:line="360" w:lineRule="auto"/>
        <w:rPr>
          <w:rFonts w:ascii="宋体" w:hAnsi="宋体"/>
          <w:bCs/>
          <w:caps/>
          <w:sz w:val="28"/>
          <w:szCs w:val="28"/>
        </w:rPr>
      </w:pPr>
      <w:r>
        <w:fldChar w:fldCharType="begin"/>
      </w:r>
      <w:r>
        <w:instrText xml:space="preserve">HYPERLINK \l "_Toc406932436"</w:instrText>
      </w:r>
      <w:r>
        <w:fldChar w:fldCharType="separate"/>
      </w:r>
      <w:r>
        <w:rPr>
          <w:rStyle w:val="8"/>
          <w:rFonts w:hint="eastAsia" w:ascii="宋体" w:hAnsi="宋体"/>
          <w:bCs/>
          <w:sz w:val="28"/>
          <w:szCs w:val="28"/>
        </w:rPr>
        <w:t>第三章</w:t>
      </w:r>
      <w:r>
        <w:rPr>
          <w:rFonts w:ascii="宋体" w:hAnsi="宋体"/>
          <w:bCs/>
          <w:caps/>
          <w:sz w:val="28"/>
          <w:szCs w:val="28"/>
        </w:rPr>
        <w:tab/>
      </w:r>
      <w:r>
        <w:rPr>
          <w:rStyle w:val="8"/>
          <w:rFonts w:hint="eastAsia" w:ascii="宋体" w:hAnsi="宋体"/>
          <w:bCs/>
          <w:sz w:val="28"/>
          <w:szCs w:val="28"/>
        </w:rPr>
        <w:t>报价文件格式</w:t>
      </w:r>
      <w:r>
        <w:rPr>
          <w:rFonts w:ascii="宋体" w:hAnsi="宋体"/>
          <w:bCs/>
          <w:sz w:val="28"/>
          <w:szCs w:val="28"/>
        </w:rPr>
        <w:tab/>
      </w:r>
      <w:r>
        <w:rPr>
          <w:rFonts w:ascii="宋体" w:hAnsi="宋体"/>
          <w:bCs/>
          <w:sz w:val="28"/>
          <w:szCs w:val="28"/>
        </w:rPr>
        <w:fldChar w:fldCharType="begin"/>
      </w:r>
      <w:r>
        <w:rPr>
          <w:rFonts w:ascii="宋体" w:hAnsi="宋体"/>
          <w:bCs/>
          <w:sz w:val="28"/>
          <w:szCs w:val="28"/>
        </w:rPr>
        <w:instrText xml:space="preserve"> PAGEREF _Toc406932436 \h </w:instrText>
      </w:r>
      <w:r>
        <w:rPr>
          <w:rFonts w:ascii="宋体" w:hAnsi="宋体"/>
          <w:bCs/>
          <w:sz w:val="28"/>
          <w:szCs w:val="28"/>
        </w:rPr>
        <w:fldChar w:fldCharType="separate"/>
      </w:r>
      <w:r>
        <w:rPr>
          <w:rFonts w:ascii="宋体" w:hAnsi="宋体"/>
          <w:bCs/>
          <w:sz w:val="28"/>
          <w:szCs w:val="28"/>
        </w:rPr>
        <w:t>21</w:t>
      </w:r>
      <w:r>
        <w:rPr>
          <w:rFonts w:ascii="宋体" w:hAnsi="宋体"/>
          <w:bCs/>
          <w:sz w:val="28"/>
          <w:szCs w:val="28"/>
        </w:rPr>
        <w:fldChar w:fldCharType="end"/>
      </w:r>
      <w:r>
        <w:fldChar w:fldCharType="end"/>
      </w:r>
    </w:p>
    <w:p>
      <w:pPr>
        <w:pStyle w:val="11"/>
        <w:spacing w:line="360" w:lineRule="auto"/>
        <w:rPr>
          <w:rFonts w:ascii="宋体" w:hAnsi="宋体"/>
          <w:bCs/>
          <w:caps/>
          <w:sz w:val="28"/>
          <w:szCs w:val="28"/>
        </w:rPr>
      </w:pPr>
      <w:r>
        <w:fldChar w:fldCharType="begin"/>
      </w:r>
      <w:r>
        <w:instrText xml:space="preserve">HYPERLINK \l "_Toc406932437"</w:instrText>
      </w:r>
      <w:r>
        <w:fldChar w:fldCharType="separate"/>
      </w:r>
      <w:r>
        <w:rPr>
          <w:rStyle w:val="8"/>
          <w:rFonts w:hint="eastAsia" w:ascii="宋体" w:hAnsi="宋体"/>
          <w:bCs/>
          <w:sz w:val="28"/>
          <w:szCs w:val="28"/>
        </w:rPr>
        <w:t>第四章</w:t>
      </w:r>
      <w:r>
        <w:rPr>
          <w:rFonts w:ascii="宋体" w:hAnsi="宋体"/>
          <w:bCs/>
          <w:caps/>
          <w:sz w:val="28"/>
          <w:szCs w:val="28"/>
        </w:rPr>
        <w:tab/>
      </w:r>
      <w:r>
        <w:rPr>
          <w:rStyle w:val="8"/>
          <w:rFonts w:hint="eastAsia" w:ascii="宋体" w:hAnsi="宋体"/>
          <w:bCs/>
          <w:sz w:val="28"/>
          <w:szCs w:val="28"/>
        </w:rPr>
        <w:t>合同协议条款</w:t>
      </w:r>
      <w:r>
        <w:rPr>
          <w:rFonts w:ascii="宋体" w:hAnsi="宋体"/>
          <w:bCs/>
          <w:sz w:val="28"/>
          <w:szCs w:val="28"/>
        </w:rPr>
        <w:tab/>
      </w:r>
      <w:r>
        <w:rPr>
          <w:rFonts w:ascii="宋体" w:hAnsi="宋体"/>
          <w:bCs/>
          <w:sz w:val="28"/>
          <w:szCs w:val="28"/>
        </w:rPr>
        <w:fldChar w:fldCharType="begin"/>
      </w:r>
      <w:r>
        <w:rPr>
          <w:rFonts w:ascii="宋体" w:hAnsi="宋体"/>
          <w:bCs/>
          <w:sz w:val="28"/>
          <w:szCs w:val="28"/>
        </w:rPr>
        <w:instrText xml:space="preserve"> PAGEREF _Toc406932437 \h </w:instrText>
      </w:r>
      <w:r>
        <w:rPr>
          <w:rFonts w:ascii="宋体" w:hAnsi="宋体"/>
          <w:bCs/>
          <w:sz w:val="28"/>
          <w:szCs w:val="28"/>
        </w:rPr>
        <w:fldChar w:fldCharType="separate"/>
      </w:r>
      <w:r>
        <w:rPr>
          <w:rFonts w:ascii="宋体" w:hAnsi="宋体"/>
          <w:bCs/>
          <w:sz w:val="28"/>
          <w:szCs w:val="28"/>
        </w:rPr>
        <w:t>28</w:t>
      </w:r>
      <w:r>
        <w:rPr>
          <w:rFonts w:ascii="宋体" w:hAnsi="宋体"/>
          <w:bCs/>
          <w:sz w:val="28"/>
          <w:szCs w:val="28"/>
        </w:rPr>
        <w:fldChar w:fldCharType="end"/>
      </w:r>
      <w:r>
        <w:fldChar w:fldCharType="end"/>
      </w:r>
    </w:p>
    <w:p>
      <w:pPr>
        <w:pStyle w:val="11"/>
        <w:spacing w:line="360" w:lineRule="auto"/>
        <w:rPr>
          <w:rFonts w:ascii="宋体" w:hAnsi="宋体"/>
          <w:b/>
          <w:bCs/>
          <w:caps/>
          <w:sz w:val="28"/>
          <w:szCs w:val="28"/>
        </w:rPr>
      </w:pPr>
      <w:r>
        <w:fldChar w:fldCharType="begin"/>
      </w:r>
      <w:r>
        <w:instrText xml:space="preserve">HYPERLINK \l "_Toc406932438"</w:instrText>
      </w:r>
      <w:r>
        <w:fldChar w:fldCharType="separate"/>
      </w:r>
      <w:r>
        <w:rPr>
          <w:rStyle w:val="8"/>
          <w:rFonts w:hint="eastAsia" w:ascii="宋体" w:hAnsi="宋体"/>
          <w:bCs/>
          <w:sz w:val="28"/>
          <w:szCs w:val="28"/>
        </w:rPr>
        <w:t>第五章</w:t>
      </w:r>
      <w:r>
        <w:rPr>
          <w:rFonts w:ascii="宋体" w:hAnsi="宋体"/>
          <w:bCs/>
          <w:caps/>
          <w:sz w:val="28"/>
          <w:szCs w:val="28"/>
        </w:rPr>
        <w:tab/>
      </w:r>
      <w:r>
        <w:rPr>
          <w:rStyle w:val="8"/>
          <w:rFonts w:hint="eastAsia" w:ascii="宋体" w:hAnsi="宋体"/>
          <w:bCs/>
          <w:sz w:val="28"/>
          <w:szCs w:val="28"/>
        </w:rPr>
        <w:t>评审附表</w:t>
      </w:r>
      <w:bookmarkStart w:id="5" w:name="_Hlt533014956"/>
      <w:bookmarkStart w:id="6" w:name="_Hlt533014957"/>
      <w:r>
        <w:rPr>
          <w:rFonts w:ascii="宋体" w:hAnsi="宋体"/>
          <w:bCs/>
          <w:sz w:val="28"/>
          <w:szCs w:val="28"/>
        </w:rPr>
        <w:tab/>
      </w:r>
      <w:bookmarkEnd w:id="5"/>
      <w:bookmarkEnd w:id="6"/>
      <w:r>
        <w:rPr>
          <w:rFonts w:ascii="宋体" w:hAnsi="宋体"/>
          <w:bCs/>
          <w:sz w:val="28"/>
          <w:szCs w:val="28"/>
        </w:rPr>
        <w:fldChar w:fldCharType="begin"/>
      </w:r>
      <w:r>
        <w:rPr>
          <w:rFonts w:ascii="宋体" w:hAnsi="宋体"/>
          <w:bCs/>
          <w:sz w:val="28"/>
          <w:szCs w:val="28"/>
        </w:rPr>
        <w:instrText xml:space="preserve"> PAGEREF _Toc406932438 \h </w:instrText>
      </w:r>
      <w:r>
        <w:rPr>
          <w:rFonts w:ascii="宋体" w:hAnsi="宋体"/>
          <w:bCs/>
          <w:sz w:val="28"/>
          <w:szCs w:val="28"/>
        </w:rPr>
        <w:fldChar w:fldCharType="separate"/>
      </w:r>
      <w:r>
        <w:rPr>
          <w:rFonts w:ascii="宋体" w:hAnsi="宋体"/>
          <w:bCs/>
          <w:sz w:val="28"/>
          <w:szCs w:val="28"/>
        </w:rPr>
        <w:t>42</w:t>
      </w:r>
      <w:r>
        <w:rPr>
          <w:rFonts w:ascii="宋体" w:hAnsi="宋体"/>
          <w:bCs/>
          <w:sz w:val="28"/>
          <w:szCs w:val="28"/>
        </w:rPr>
        <w:fldChar w:fldCharType="end"/>
      </w:r>
      <w:r>
        <w:fldChar w:fldCharType="end"/>
      </w:r>
    </w:p>
    <w:p>
      <w:pPr/>
      <w:r>
        <w:rPr>
          <w:kern w:val="0"/>
          <w:sz w:val="28"/>
          <w:szCs w:val="28"/>
        </w:rPr>
        <w:fldChar w:fldCharType="end"/>
      </w:r>
    </w:p>
    <w:p>
      <w:pPr>
        <w:pStyle w:val="2"/>
        <w:tabs>
          <w:tab w:val="left" w:pos="8280"/>
        </w:tabs>
        <w:spacing w:line="300" w:lineRule="auto"/>
        <w:ind w:right="28"/>
        <w:rPr>
          <w:rFonts w:ascii="宋体" w:eastAsia="宋体"/>
          <w:b/>
          <w:sz w:val="24"/>
          <w:szCs w:val="24"/>
        </w:rPr>
        <w:sectPr>
          <w:pgSz w:w="11906" w:h="16838"/>
          <w:pgMar w:top="1361" w:right="1191" w:bottom="1191" w:left="1361" w:header="851" w:footer="992" w:gutter="0"/>
          <w:cols w:space="720" w:num="1"/>
          <w:docGrid w:type="linesAndChars" w:linePitch="386" w:charSpace="-4601"/>
        </w:sectPr>
      </w:pPr>
    </w:p>
    <w:p>
      <w:pPr>
        <w:numPr>
          <w:ilvl w:val="0"/>
          <w:numId w:val="1"/>
        </w:numPr>
        <w:tabs>
          <w:tab w:val="left" w:pos="993"/>
          <w:tab w:val="left" w:pos="4716"/>
          <w:tab w:val="left" w:pos="7559"/>
        </w:tabs>
        <w:spacing w:line="300" w:lineRule="auto"/>
        <w:ind w:left="0" w:firstLine="0"/>
        <w:jc w:val="center"/>
        <w:outlineLvl w:val="0"/>
        <w:rPr>
          <w:b/>
          <w:sz w:val="30"/>
          <w:szCs w:val="30"/>
        </w:rPr>
      </w:pPr>
      <w:bookmarkStart w:id="7" w:name="_Toc406932415"/>
      <w:r>
        <w:rPr>
          <w:rFonts w:hint="eastAsia"/>
          <w:b/>
          <w:sz w:val="30"/>
          <w:szCs w:val="30"/>
        </w:rPr>
        <w:t xml:space="preserve">  </w:t>
      </w:r>
      <w:bookmarkEnd w:id="7"/>
      <w:r>
        <w:rPr>
          <w:rFonts w:hint="eastAsia"/>
          <w:b/>
          <w:sz w:val="30"/>
          <w:szCs w:val="30"/>
        </w:rPr>
        <w:t>比选公告</w:t>
      </w:r>
    </w:p>
    <w:p>
      <w:pPr>
        <w:widowControl/>
        <w:spacing w:line="360" w:lineRule="auto"/>
        <w:ind w:firstLine="375" w:firstLineChars="200"/>
        <w:jc w:val="left"/>
      </w:pPr>
    </w:p>
    <w:p>
      <w:pPr>
        <w:widowControl/>
        <w:spacing w:line="360" w:lineRule="auto"/>
        <w:ind w:firstLine="375" w:firstLineChars="200"/>
        <w:jc w:val="left"/>
      </w:pPr>
      <w:r>
        <w:rPr>
          <w:rFonts w:hint="eastAsia"/>
        </w:rPr>
        <w:t>根据《中华人民共和国比选报价法》等有关法律、法规和规章的规定，现对广州市公共交通集团有限公司大数据共享与管理平台项目监理采购项目进行公开比选，诚邀合格的报价人参加报价。</w:t>
      </w:r>
    </w:p>
    <w:p>
      <w:pPr>
        <w:widowControl/>
        <w:spacing w:line="360" w:lineRule="auto"/>
        <w:ind w:firstLine="375" w:firstLineChars="200"/>
        <w:jc w:val="left"/>
      </w:pPr>
    </w:p>
    <w:p>
      <w:pPr>
        <w:widowControl/>
        <w:spacing w:line="360" w:lineRule="auto"/>
        <w:ind w:firstLine="375" w:firstLineChars="200"/>
        <w:jc w:val="left"/>
        <w:rPr>
          <w:rFonts w:cs="宋体"/>
          <w:b/>
          <w:kern w:val="0"/>
        </w:rPr>
      </w:pPr>
      <w:r>
        <w:rPr>
          <w:rFonts w:hint="eastAsia" w:cs="宋体"/>
          <w:b/>
          <w:kern w:val="0"/>
        </w:rPr>
        <w:t>一、项目基本概况</w:t>
      </w:r>
    </w:p>
    <w:p>
      <w:pPr>
        <w:widowControl/>
        <w:spacing w:line="360" w:lineRule="auto"/>
        <w:ind w:firstLine="469" w:firstLineChars="250"/>
        <w:jc w:val="left"/>
      </w:pPr>
      <w:r>
        <w:rPr>
          <w:rFonts w:hint="eastAsia"/>
        </w:rPr>
        <w:t>根据广州市公共交通集团《信息化三年行动计划（</w:t>
      </w:r>
      <w:r>
        <w:t>2018-2020年）》（穗公交集﹝2018﹞225号）的规划与安排，大数据共享和管理平台是集团2019年重点建设项目。大数据共享和管理平台将构建广州市公共交通集团数据标准规范、数据资源目录、数据资源共享、基础应用服务等核心体系，实现广州市公共交通集团结构化数据的对内采集、管理、共享、分析应用，对外输出和运营管理等。</w:t>
      </w:r>
    </w:p>
    <w:p>
      <w:pPr>
        <w:widowControl/>
        <w:spacing w:line="360" w:lineRule="auto"/>
        <w:ind w:firstLine="375" w:firstLineChars="200"/>
        <w:jc w:val="left"/>
        <w:rPr>
          <w:rFonts w:cs="宋体"/>
          <w:b/>
          <w:kern w:val="0"/>
        </w:rPr>
      </w:pPr>
      <w:r>
        <w:rPr>
          <w:rFonts w:hint="eastAsia" w:cs="宋体"/>
          <w:b/>
          <w:kern w:val="0"/>
        </w:rPr>
        <w:t>二、时间要求</w:t>
      </w:r>
    </w:p>
    <w:p>
      <w:pPr>
        <w:widowControl/>
        <w:spacing w:line="360" w:lineRule="auto"/>
        <w:ind w:firstLine="375" w:firstLineChars="200"/>
        <w:jc w:val="left"/>
      </w:pPr>
      <w:r>
        <w:rPr>
          <w:rFonts w:hint="eastAsia"/>
          <w:bCs/>
          <w:szCs w:val="21"/>
        </w:rPr>
        <w:t>根据甲方需要，及时提供监理意见和建议，督促大数据共享与管理平台项目建设单位按质按期完成项目建设。项目监理工期</w:t>
      </w:r>
      <w:r>
        <w:rPr>
          <w:rFonts w:hint="eastAsia"/>
        </w:rPr>
        <w:t>自公交集团大数据共享与管理平台开始建设起，至平台建设验收完成止。</w:t>
      </w:r>
    </w:p>
    <w:p>
      <w:pPr>
        <w:widowControl/>
        <w:spacing w:line="360" w:lineRule="auto"/>
        <w:ind w:firstLine="375" w:firstLineChars="200"/>
        <w:jc w:val="left"/>
        <w:rPr>
          <w:rFonts w:cs="宋体"/>
          <w:b/>
          <w:kern w:val="0"/>
        </w:rPr>
      </w:pPr>
      <w:r>
        <w:rPr>
          <w:rFonts w:hint="eastAsia" w:cs="宋体"/>
          <w:b/>
          <w:kern w:val="0"/>
        </w:rPr>
        <w:t>四、报价人资质要求</w:t>
      </w:r>
    </w:p>
    <w:p>
      <w:pPr>
        <w:widowControl/>
        <w:spacing w:line="360" w:lineRule="auto"/>
        <w:ind w:firstLine="375" w:firstLineChars="200"/>
        <w:jc w:val="left"/>
      </w:pPr>
      <w:r>
        <w:t>1.中华人民共和国的独立法人资格。</w:t>
      </w:r>
    </w:p>
    <w:p>
      <w:pPr>
        <w:widowControl/>
        <w:spacing w:line="360" w:lineRule="auto"/>
        <w:ind w:firstLine="375" w:firstLineChars="200"/>
        <w:jc w:val="left"/>
      </w:pPr>
      <w:r>
        <w:t>2.具有监理专业资质。</w:t>
      </w:r>
    </w:p>
    <w:p>
      <w:pPr>
        <w:widowControl/>
        <w:spacing w:line="360" w:lineRule="auto"/>
        <w:ind w:firstLine="375" w:firstLineChars="200"/>
        <w:jc w:val="left"/>
      </w:pPr>
      <w:r>
        <w:t>3.本项目不接受联合体报价。</w:t>
      </w:r>
    </w:p>
    <w:p>
      <w:pPr>
        <w:widowControl/>
        <w:spacing w:line="360" w:lineRule="auto"/>
        <w:ind w:firstLine="375" w:firstLineChars="200"/>
        <w:jc w:val="left"/>
        <w:rPr>
          <w:rFonts w:cs="宋体"/>
          <w:b/>
          <w:kern w:val="0"/>
        </w:rPr>
      </w:pPr>
      <w:r>
        <w:rPr>
          <w:rFonts w:hint="eastAsia" w:cs="宋体"/>
          <w:b/>
          <w:kern w:val="0"/>
        </w:rPr>
        <w:t>五、比选文件获取</w:t>
      </w:r>
    </w:p>
    <w:p>
      <w:pPr>
        <w:widowControl/>
        <w:spacing w:line="360" w:lineRule="auto"/>
        <w:ind w:firstLine="375" w:firstLineChars="200"/>
        <w:jc w:val="left"/>
        <w:rPr>
          <w:rFonts w:cs="宋体"/>
          <w:kern w:val="0"/>
        </w:rPr>
      </w:pPr>
      <w:r>
        <w:rPr>
          <w:rFonts w:hint="eastAsia"/>
        </w:rPr>
        <w:t>凡有意参加本次报价者，请在本公告下载附件的比选文件。</w:t>
      </w:r>
    </w:p>
    <w:p>
      <w:pPr>
        <w:widowControl/>
        <w:spacing w:line="360" w:lineRule="auto"/>
        <w:ind w:firstLine="375" w:firstLineChars="200"/>
        <w:jc w:val="left"/>
        <w:rPr>
          <w:b/>
        </w:rPr>
      </w:pPr>
      <w:r>
        <w:rPr>
          <w:rFonts w:hint="eastAsia"/>
          <w:b/>
        </w:rPr>
        <w:t>六、报价文件递交时间、地点</w:t>
      </w:r>
    </w:p>
    <w:p>
      <w:pPr>
        <w:widowControl/>
        <w:spacing w:line="360" w:lineRule="auto"/>
        <w:ind w:firstLine="375" w:firstLineChars="200"/>
        <w:jc w:val="left"/>
      </w:pPr>
      <w:r>
        <w:rPr>
          <w:rFonts w:hint="eastAsia"/>
        </w:rPr>
        <w:t>报价文件递交的时间为2019年10月12日 9时至16 时</w:t>
      </w:r>
      <w:r>
        <w:t xml:space="preserve"> </w:t>
      </w:r>
      <w:r>
        <w:rPr>
          <w:rFonts w:hint="eastAsia"/>
        </w:rPr>
        <w:t>，报价文件必须在上述时间前递交至：</w:t>
      </w:r>
      <w:r>
        <w:rPr>
          <w:rFonts w:hint="eastAsia"/>
          <w:u w:val="single"/>
        </w:rPr>
        <w:t>越秀区东园横路60号公交集团有限公司</w:t>
      </w:r>
      <w:r>
        <w:rPr>
          <w:u w:val="single"/>
        </w:rPr>
        <w:t>205</w:t>
      </w:r>
      <w:r>
        <w:rPr>
          <w:rFonts w:hint="eastAsia"/>
          <w:u w:val="single"/>
        </w:rPr>
        <w:t>办公室（联系人：林先生；电话：0</w:t>
      </w:r>
      <w:r>
        <w:rPr>
          <w:u w:val="single"/>
        </w:rPr>
        <w:t>20-83525931</w:t>
      </w:r>
      <w:r>
        <w:rPr>
          <w:rFonts w:hint="eastAsia"/>
          <w:u w:val="single"/>
        </w:rPr>
        <w:t>）</w:t>
      </w:r>
      <w:r>
        <w:rPr>
          <w:rFonts w:hint="eastAsia"/>
        </w:rPr>
        <w:t>。</w:t>
      </w:r>
    </w:p>
    <w:p>
      <w:pPr>
        <w:widowControl/>
        <w:spacing w:line="360" w:lineRule="auto"/>
        <w:ind w:firstLine="375" w:firstLineChars="200"/>
        <w:jc w:val="left"/>
        <w:rPr>
          <w:b/>
        </w:rPr>
      </w:pPr>
      <w:r>
        <w:rPr>
          <w:rFonts w:hint="eastAsia"/>
          <w:b/>
        </w:rPr>
        <w:t>七、联系方式</w:t>
      </w:r>
    </w:p>
    <w:p>
      <w:pPr>
        <w:spacing w:line="300" w:lineRule="auto"/>
        <w:ind w:firstLine="373" w:firstLineChars="199"/>
      </w:pPr>
      <w:r>
        <w:rPr>
          <w:rFonts w:hint="eastAsia"/>
        </w:rPr>
        <w:t>比选单位：</w:t>
      </w:r>
      <w:r>
        <w:rPr>
          <w:rFonts w:hint="eastAsia"/>
          <w:bCs/>
          <w:color w:val="000000"/>
          <w:szCs w:val="21"/>
          <w:u w:val="single"/>
        </w:rPr>
        <w:t>广州市公共交通集团有限公司</w:t>
      </w:r>
    </w:p>
    <w:p>
      <w:pPr>
        <w:spacing w:line="300" w:lineRule="auto"/>
        <w:ind w:firstLine="373" w:firstLineChars="199"/>
      </w:pPr>
      <w:r>
        <w:rPr>
          <w:rFonts w:hint="eastAsia"/>
        </w:rPr>
        <w:t>地</w:t>
      </w:r>
      <w:r>
        <w:t xml:space="preserve">    </w:t>
      </w:r>
      <w:r>
        <w:rPr>
          <w:rFonts w:hint="eastAsia"/>
        </w:rPr>
        <w:t>址：</w:t>
      </w:r>
      <w:r>
        <w:rPr>
          <w:rFonts w:hint="eastAsia"/>
          <w:u w:val="single"/>
        </w:rPr>
        <w:t>越秀区东园横路60号2</w:t>
      </w:r>
      <w:r>
        <w:rPr>
          <w:u w:val="single"/>
        </w:rPr>
        <w:t>05</w:t>
      </w:r>
      <w:r>
        <w:rPr>
          <w:rFonts w:hint="eastAsia"/>
          <w:u w:val="single"/>
        </w:rPr>
        <w:t xml:space="preserve">室 </w:t>
      </w:r>
    </w:p>
    <w:p>
      <w:pPr>
        <w:spacing w:line="300" w:lineRule="auto"/>
        <w:ind w:firstLine="373" w:firstLineChars="199"/>
      </w:pPr>
      <w:r>
        <w:rPr>
          <w:rFonts w:hint="eastAsia"/>
        </w:rPr>
        <w:t>电</w:t>
      </w:r>
      <w:r>
        <w:t xml:space="preserve">    </w:t>
      </w:r>
      <w:r>
        <w:rPr>
          <w:rFonts w:hint="eastAsia"/>
        </w:rPr>
        <w:t>话：（0</w:t>
      </w:r>
      <w:r>
        <w:t>20</w:t>
      </w:r>
      <w:r>
        <w:rPr>
          <w:rFonts w:hint="eastAsia"/>
        </w:rPr>
        <w:t>）8</w:t>
      </w:r>
      <w:r>
        <w:t>3525931</w:t>
      </w:r>
      <w:r>
        <w:rPr>
          <w:rFonts w:hint="eastAsia"/>
        </w:rPr>
        <w:t xml:space="preserve">               </w:t>
      </w:r>
      <w:r>
        <w:t xml:space="preserve"> </w:t>
      </w:r>
      <w:r>
        <w:rPr>
          <w:rFonts w:hint="eastAsia"/>
        </w:rPr>
        <w:t>传</w:t>
      </w:r>
      <w:r>
        <w:t xml:space="preserve">    </w:t>
      </w:r>
      <w:r>
        <w:rPr>
          <w:rFonts w:hint="eastAsia"/>
        </w:rPr>
        <w:t xml:space="preserve">真：         </w:t>
      </w:r>
    </w:p>
    <w:p>
      <w:pPr>
        <w:spacing w:line="300" w:lineRule="auto"/>
        <w:ind w:firstLine="373" w:firstLineChars="199"/>
      </w:pPr>
      <w:r>
        <w:rPr>
          <w:rFonts w:hint="eastAsia"/>
        </w:rPr>
        <w:t xml:space="preserve">邮政编码：      </w:t>
      </w:r>
    </w:p>
    <w:p>
      <w:pPr>
        <w:spacing w:line="300" w:lineRule="auto"/>
        <w:ind w:firstLine="373" w:firstLineChars="199"/>
      </w:pPr>
      <w:r>
        <w:rPr>
          <w:rFonts w:hint="eastAsia"/>
        </w:rPr>
        <w:t>联</w:t>
      </w:r>
      <w:r>
        <w:t xml:space="preserve"> </w:t>
      </w:r>
      <w:r>
        <w:rPr>
          <w:rFonts w:hint="eastAsia"/>
        </w:rPr>
        <w:t>系</w:t>
      </w:r>
      <w:r>
        <w:t xml:space="preserve"> </w:t>
      </w:r>
      <w:r>
        <w:rPr>
          <w:rFonts w:hint="eastAsia"/>
        </w:rPr>
        <w:t xml:space="preserve">人：林先生  </w:t>
      </w:r>
    </w:p>
    <w:p>
      <w:pPr>
        <w:spacing w:line="300" w:lineRule="auto"/>
        <w:ind w:firstLine="373" w:firstLineChars="199"/>
      </w:pPr>
    </w:p>
    <w:p>
      <w:pPr>
        <w:spacing w:line="300" w:lineRule="auto"/>
        <w:ind w:firstLine="373" w:firstLineChars="199"/>
      </w:pPr>
    </w:p>
    <w:p>
      <w:pPr>
        <w:spacing w:line="300" w:lineRule="auto"/>
        <w:ind w:firstLine="373" w:firstLineChars="199"/>
      </w:pPr>
    </w:p>
    <w:p>
      <w:pPr>
        <w:spacing w:line="460" w:lineRule="exact"/>
        <w:ind w:firstLine="456" w:firstLineChars="177"/>
        <w:jc w:val="center"/>
        <w:rPr>
          <w:rFonts w:eastAsia="仿宋_GB2312"/>
          <w:sz w:val="28"/>
          <w:szCs w:val="28"/>
          <w:lang w:val="zh-CN"/>
        </w:rPr>
      </w:pPr>
      <w:r>
        <w:rPr>
          <w:rFonts w:eastAsia="仿宋_GB2312"/>
          <w:sz w:val="28"/>
          <w:szCs w:val="28"/>
          <w:lang w:val="zh-CN"/>
        </w:rPr>
        <w:t xml:space="preserve">            </w:t>
      </w:r>
      <w:r>
        <w:rPr>
          <w:rFonts w:hint="eastAsia" w:eastAsia="仿宋_GB2312"/>
          <w:sz w:val="28"/>
          <w:szCs w:val="28"/>
          <w:lang w:val="zh-CN"/>
        </w:rPr>
        <w:t xml:space="preserve">        </w:t>
      </w:r>
    </w:p>
    <w:p>
      <w:pPr>
        <w:spacing w:line="460" w:lineRule="exact"/>
        <w:ind w:firstLine="456" w:firstLineChars="177"/>
        <w:jc w:val="center"/>
        <w:rPr>
          <w:rFonts w:eastAsia="仿宋_GB2312"/>
          <w:sz w:val="28"/>
          <w:szCs w:val="28"/>
          <w:lang w:val="zh-CN"/>
        </w:rPr>
      </w:pPr>
      <w:r>
        <w:rPr>
          <w:rFonts w:hint="eastAsia" w:eastAsia="仿宋_GB2312"/>
          <w:sz w:val="28"/>
          <w:szCs w:val="28"/>
          <w:lang w:val="zh-CN"/>
        </w:rPr>
        <w:t xml:space="preserve">                   </w:t>
      </w:r>
    </w:p>
    <w:p>
      <w:pPr>
        <w:spacing w:line="460" w:lineRule="exact"/>
        <w:ind w:firstLine="456" w:firstLineChars="177"/>
        <w:jc w:val="center"/>
        <w:rPr>
          <w:rFonts w:eastAsia="仿宋_GB2312"/>
          <w:sz w:val="28"/>
          <w:szCs w:val="28"/>
          <w:lang w:val="zh-CN"/>
        </w:rPr>
      </w:pPr>
    </w:p>
    <w:p>
      <w:pPr>
        <w:spacing w:line="460" w:lineRule="exact"/>
        <w:ind w:firstLine="456" w:firstLineChars="177"/>
        <w:jc w:val="center"/>
        <w:rPr>
          <w:rFonts w:eastAsia="仿宋_GB2312"/>
          <w:sz w:val="28"/>
          <w:szCs w:val="28"/>
          <w:lang w:val="zh-CN"/>
        </w:rPr>
      </w:pPr>
    </w:p>
    <w:p>
      <w:pPr>
        <w:spacing w:line="460" w:lineRule="exact"/>
        <w:ind w:firstLine="456" w:firstLineChars="177"/>
        <w:jc w:val="center"/>
        <w:rPr>
          <w:rFonts w:eastAsia="仿宋_GB2312"/>
          <w:sz w:val="28"/>
          <w:szCs w:val="28"/>
          <w:lang w:val="zh-CN"/>
        </w:rPr>
      </w:pPr>
    </w:p>
    <w:p>
      <w:pPr>
        <w:widowControl/>
        <w:spacing w:line="360" w:lineRule="auto"/>
        <w:ind w:firstLine="515" w:firstLineChars="200"/>
        <w:jc w:val="right"/>
        <w:rPr>
          <w:lang w:val="zh-CN"/>
        </w:rPr>
      </w:pPr>
      <w:r>
        <w:rPr>
          <w:rFonts w:hint="eastAsia" w:cs="宋体"/>
          <w:sz w:val="28"/>
          <w:szCs w:val="28"/>
        </w:rPr>
        <w:t xml:space="preserve">        </w:t>
      </w:r>
      <w:r>
        <w:rPr>
          <w:rFonts w:hint="eastAsia"/>
          <w:lang w:val="zh-CN"/>
        </w:rPr>
        <w:t xml:space="preserve">   比选人：广州市公共交通集团有限公司</w:t>
      </w:r>
    </w:p>
    <w:p>
      <w:pPr>
        <w:widowControl/>
        <w:wordWrap w:val="0"/>
        <w:spacing w:line="360" w:lineRule="auto"/>
        <w:ind w:firstLine="375" w:firstLineChars="200"/>
        <w:jc w:val="right"/>
        <w:rPr>
          <w:lang w:val="zh-CN"/>
        </w:rPr>
      </w:pPr>
      <w:r>
        <w:rPr>
          <w:rFonts w:hint="eastAsia"/>
          <w:lang w:val="zh-CN"/>
        </w:rPr>
        <w:t xml:space="preserve">                 日  期：201</w:t>
      </w:r>
      <w:r>
        <w:rPr>
          <w:lang w:val="zh-CN"/>
        </w:rPr>
        <w:t>9</w:t>
      </w:r>
      <w:r>
        <w:rPr>
          <w:rFonts w:hint="eastAsia"/>
          <w:lang w:val="zh-CN"/>
        </w:rPr>
        <w:t>年</w:t>
      </w:r>
      <w:r>
        <w:rPr>
          <w:lang w:val="zh-CN"/>
        </w:rPr>
        <w:t>9</w:t>
      </w:r>
      <w:r>
        <w:rPr>
          <w:rFonts w:hint="eastAsia"/>
          <w:lang w:val="zh-CN"/>
        </w:rPr>
        <w:t>月2</w:t>
      </w:r>
      <w:r>
        <w:rPr>
          <w:lang w:val="zh-CN"/>
        </w:rPr>
        <w:t>9</w:t>
      </w:r>
      <w:r>
        <w:rPr>
          <w:rFonts w:hint="eastAsia"/>
          <w:lang w:val="zh-CN"/>
        </w:rPr>
        <w:t xml:space="preserve">日 </w:t>
      </w:r>
    </w:p>
    <w:p>
      <w:pPr>
        <w:widowControl/>
        <w:spacing w:line="360" w:lineRule="auto"/>
        <w:ind w:firstLine="375" w:firstLineChars="200"/>
        <w:jc w:val="left"/>
        <w:rPr>
          <w:lang w:val="zh-CN"/>
        </w:rPr>
      </w:pPr>
    </w:p>
    <w:p>
      <w:pPr>
        <w:snapToGrid w:val="0"/>
        <w:spacing w:line="460" w:lineRule="exact"/>
        <w:jc w:val="center"/>
        <w:rPr>
          <w:b/>
          <w:sz w:val="28"/>
          <w:szCs w:val="28"/>
          <w:lang w:val="zh-CN"/>
        </w:rPr>
      </w:pPr>
    </w:p>
    <w:p>
      <w:pPr>
        <w:snapToGrid w:val="0"/>
        <w:spacing w:line="460" w:lineRule="exact"/>
        <w:jc w:val="center"/>
        <w:rPr>
          <w:b/>
          <w:sz w:val="28"/>
          <w:szCs w:val="28"/>
          <w:lang w:val="zh-CN"/>
        </w:rPr>
      </w:pPr>
    </w:p>
    <w:p>
      <w:pPr>
        <w:snapToGrid w:val="0"/>
        <w:spacing w:line="460" w:lineRule="exact"/>
        <w:jc w:val="center"/>
        <w:rPr>
          <w:b/>
          <w:sz w:val="28"/>
          <w:szCs w:val="28"/>
          <w:lang w:val="zh-CN"/>
        </w:rPr>
      </w:pPr>
    </w:p>
    <w:p>
      <w:pPr>
        <w:spacing w:line="360" w:lineRule="auto"/>
        <w:ind w:firstLine="375" w:firstLineChars="200"/>
        <w:jc w:val="right"/>
        <w:rPr>
          <w:b/>
          <w:bCs/>
        </w:rPr>
      </w:pPr>
      <w:r>
        <w:rPr>
          <w:lang w:val="zh-CN"/>
        </w:rPr>
        <w:br w:type="page"/>
      </w:r>
      <w:bookmarkStart w:id="8" w:name="_Toc404696173"/>
      <w:bookmarkEnd w:id="8"/>
      <w:bookmarkStart w:id="9" w:name="_Toc404696175"/>
      <w:bookmarkEnd w:id="9"/>
      <w:bookmarkStart w:id="10" w:name="_Toc404696172"/>
      <w:bookmarkEnd w:id="10"/>
    </w:p>
    <w:p>
      <w:pPr>
        <w:numPr>
          <w:ilvl w:val="0"/>
          <w:numId w:val="1"/>
        </w:numPr>
        <w:tabs>
          <w:tab w:val="left" w:pos="993"/>
          <w:tab w:val="left" w:pos="4716"/>
          <w:tab w:val="left" w:pos="7559"/>
        </w:tabs>
        <w:spacing w:line="300" w:lineRule="auto"/>
        <w:ind w:left="0" w:firstLine="0"/>
        <w:jc w:val="center"/>
        <w:outlineLvl w:val="0"/>
        <w:rPr>
          <w:b/>
          <w:sz w:val="30"/>
          <w:szCs w:val="30"/>
        </w:rPr>
      </w:pPr>
      <w:bookmarkStart w:id="11" w:name="_Toc406932416"/>
      <w:r>
        <w:rPr>
          <w:rFonts w:hint="eastAsia"/>
          <w:b/>
          <w:sz w:val="30"/>
          <w:szCs w:val="30"/>
        </w:rPr>
        <w:t xml:space="preserve">  报价须知</w:t>
      </w:r>
      <w:bookmarkEnd w:id="11"/>
    </w:p>
    <w:p>
      <w:pPr>
        <w:numPr>
          <w:ilvl w:val="0"/>
          <w:numId w:val="2"/>
        </w:numPr>
        <w:tabs>
          <w:tab w:val="left" w:pos="450"/>
        </w:tabs>
        <w:spacing w:line="420" w:lineRule="auto"/>
        <w:ind w:left="448" w:hanging="448"/>
        <w:outlineLvl w:val="1"/>
        <w:rPr>
          <w:b/>
          <w:bCs/>
        </w:rPr>
      </w:pPr>
      <w:bookmarkStart w:id="12" w:name="_Toc406932417"/>
      <w:r>
        <w:rPr>
          <w:rFonts w:hint="eastAsia"/>
          <w:b/>
          <w:bCs/>
        </w:rPr>
        <w:t>比选单位</w:t>
      </w:r>
    </w:p>
    <w:p>
      <w:pPr>
        <w:ind w:firstLine="375" w:firstLineChars="200"/>
      </w:pPr>
      <w:r>
        <w:rPr>
          <w:rFonts w:hint="eastAsia"/>
        </w:rPr>
        <w:t>广州市公共交通集团有限公司</w:t>
      </w:r>
      <w:bookmarkEnd w:id="12"/>
    </w:p>
    <w:p>
      <w:pPr>
        <w:numPr>
          <w:ilvl w:val="0"/>
          <w:numId w:val="2"/>
        </w:numPr>
        <w:tabs>
          <w:tab w:val="left" w:pos="450"/>
        </w:tabs>
        <w:spacing w:line="420" w:lineRule="auto"/>
        <w:ind w:left="448" w:hanging="448"/>
        <w:outlineLvl w:val="1"/>
        <w:rPr>
          <w:b/>
          <w:bCs/>
        </w:rPr>
      </w:pPr>
      <w:bookmarkStart w:id="13" w:name="_Toc406932418"/>
      <w:r>
        <w:rPr>
          <w:rFonts w:hint="eastAsia"/>
          <w:b/>
          <w:bCs/>
        </w:rPr>
        <w:t>比选方式</w:t>
      </w:r>
      <w:bookmarkEnd w:id="13"/>
    </w:p>
    <w:p>
      <w:pPr>
        <w:spacing w:line="420" w:lineRule="auto"/>
        <w:ind w:firstLine="480"/>
      </w:pPr>
      <w:r>
        <w:rPr>
          <w:rFonts w:hint="eastAsia"/>
        </w:rPr>
        <w:t>公开比选</w:t>
      </w:r>
    </w:p>
    <w:p>
      <w:pPr>
        <w:numPr>
          <w:ilvl w:val="0"/>
          <w:numId w:val="2"/>
        </w:numPr>
        <w:tabs>
          <w:tab w:val="left" w:pos="450"/>
        </w:tabs>
        <w:spacing w:line="420" w:lineRule="auto"/>
        <w:ind w:left="448" w:hanging="448"/>
        <w:outlineLvl w:val="1"/>
        <w:rPr>
          <w:b/>
          <w:bCs/>
        </w:rPr>
      </w:pPr>
      <w:bookmarkStart w:id="14" w:name="_Toc406932419"/>
      <w:r>
        <w:rPr>
          <w:rFonts w:hint="eastAsia"/>
          <w:b/>
          <w:bCs/>
        </w:rPr>
        <w:t>资金来源</w:t>
      </w:r>
      <w:bookmarkEnd w:id="14"/>
    </w:p>
    <w:p>
      <w:pPr>
        <w:spacing w:line="420" w:lineRule="auto"/>
        <w:ind w:firstLine="480"/>
      </w:pPr>
      <w:r>
        <w:rPr>
          <w:rFonts w:hint="eastAsia"/>
        </w:rPr>
        <w:t>企业自筹</w:t>
      </w:r>
    </w:p>
    <w:p>
      <w:pPr>
        <w:numPr>
          <w:ilvl w:val="0"/>
          <w:numId w:val="2"/>
        </w:numPr>
        <w:tabs>
          <w:tab w:val="left" w:pos="450"/>
        </w:tabs>
        <w:spacing w:line="420" w:lineRule="auto"/>
        <w:ind w:left="448" w:hanging="448"/>
        <w:outlineLvl w:val="1"/>
        <w:rPr>
          <w:b/>
          <w:bCs/>
        </w:rPr>
      </w:pPr>
      <w:bookmarkStart w:id="15" w:name="_Toc406932420"/>
      <w:r>
        <w:rPr>
          <w:rFonts w:hint="eastAsia"/>
          <w:b/>
          <w:bCs/>
        </w:rPr>
        <w:t>报价单位资格要求</w:t>
      </w:r>
      <w:bookmarkEnd w:id="15"/>
    </w:p>
    <w:p>
      <w:pPr>
        <w:numPr>
          <w:ilvl w:val="0"/>
          <w:numId w:val="3"/>
        </w:numPr>
        <w:tabs>
          <w:tab w:val="left" w:pos="900"/>
        </w:tabs>
        <w:spacing w:line="300" w:lineRule="auto"/>
      </w:pPr>
      <w:r>
        <w:rPr>
          <w:rFonts w:hint="eastAsia"/>
        </w:rPr>
        <w:t>具有中华人民共和国</w:t>
      </w:r>
      <w:r>
        <w:t>的</w:t>
      </w:r>
      <w:r>
        <w:rPr>
          <w:rFonts w:hint="eastAsia"/>
        </w:rPr>
        <w:t>独立</w:t>
      </w:r>
      <w:r>
        <w:t>法人</w:t>
      </w:r>
      <w:r>
        <w:rPr>
          <w:rFonts w:hint="eastAsia"/>
        </w:rPr>
        <w:t>资格</w:t>
      </w:r>
      <w:r>
        <w:t>；</w:t>
      </w:r>
    </w:p>
    <w:p>
      <w:pPr>
        <w:numPr>
          <w:ilvl w:val="0"/>
          <w:numId w:val="3"/>
        </w:numPr>
        <w:tabs>
          <w:tab w:val="left" w:pos="900"/>
        </w:tabs>
        <w:spacing w:line="300" w:lineRule="auto"/>
      </w:pPr>
      <w:r>
        <w:rPr>
          <w:rFonts w:hint="eastAsia"/>
        </w:rPr>
        <w:t>具有监理专业资质；</w:t>
      </w:r>
    </w:p>
    <w:p>
      <w:pPr>
        <w:numPr>
          <w:ilvl w:val="0"/>
          <w:numId w:val="3"/>
        </w:numPr>
        <w:tabs>
          <w:tab w:val="left" w:pos="900"/>
        </w:tabs>
        <w:spacing w:line="300" w:lineRule="auto"/>
      </w:pPr>
      <w:r>
        <w:rPr>
          <w:rFonts w:hint="eastAsia"/>
        </w:rPr>
        <w:t>本项目不接受联合体报价。</w:t>
      </w:r>
    </w:p>
    <w:p>
      <w:pPr>
        <w:numPr>
          <w:ilvl w:val="0"/>
          <w:numId w:val="2"/>
        </w:numPr>
        <w:tabs>
          <w:tab w:val="left" w:pos="450"/>
        </w:tabs>
        <w:spacing w:line="420" w:lineRule="auto"/>
        <w:ind w:left="448" w:hanging="448"/>
        <w:outlineLvl w:val="1"/>
        <w:rPr>
          <w:b/>
          <w:bCs/>
        </w:rPr>
      </w:pPr>
      <w:bookmarkStart w:id="16" w:name="_Toc406932421"/>
      <w:r>
        <w:rPr>
          <w:rFonts w:hint="eastAsia"/>
          <w:b/>
          <w:bCs/>
        </w:rPr>
        <w:t>项目概况</w:t>
      </w:r>
      <w:bookmarkEnd w:id="16"/>
    </w:p>
    <w:p>
      <w:pPr>
        <w:widowControl/>
        <w:spacing w:line="360" w:lineRule="auto"/>
        <w:ind w:firstLine="375" w:firstLineChars="200"/>
        <w:jc w:val="left"/>
      </w:pPr>
      <w:r>
        <w:rPr>
          <w:rFonts w:hint="eastAsia"/>
        </w:rPr>
        <w:t>为广州市公共交通集团有限公司大数据共享与管理平台项目提供监理服务。大数据共享和管理平台是集团</w:t>
      </w:r>
      <w:r>
        <w:t>2019年重点建设项目。大数据共享和管理平台将构建广州市公共交通集团数据标准规范、数据资源目录、数据资源共享、基础应用服务等核心体系，实现广州市公共交通集团结构化数据的对内采集、管理、共享、分析应用，对外输出和运营管理等。</w:t>
      </w:r>
    </w:p>
    <w:p>
      <w:pPr>
        <w:widowControl/>
        <w:spacing w:line="360" w:lineRule="auto"/>
        <w:ind w:firstLine="375" w:firstLineChars="200"/>
        <w:jc w:val="left"/>
      </w:pPr>
      <w:r>
        <w:rPr>
          <w:rFonts w:hint="eastAsia"/>
        </w:rPr>
        <w:t>大数据共享与管理平台共包括数据资源梳理、标准规范制定、数据资源库建设、数据采集及数据管理、数据共享建设、整理公交集团部室业务流程及数据需求、平台监控等部分。</w:t>
      </w:r>
    </w:p>
    <w:p>
      <w:pPr>
        <w:numPr>
          <w:ilvl w:val="0"/>
          <w:numId w:val="2"/>
        </w:numPr>
        <w:tabs>
          <w:tab w:val="left" w:pos="450"/>
        </w:tabs>
        <w:spacing w:line="420" w:lineRule="auto"/>
        <w:ind w:left="448" w:hanging="448"/>
        <w:outlineLvl w:val="1"/>
        <w:rPr>
          <w:b/>
          <w:bCs/>
        </w:rPr>
      </w:pPr>
      <w:r>
        <w:rPr>
          <w:rFonts w:hint="eastAsia"/>
          <w:b/>
          <w:bCs/>
        </w:rPr>
        <w:t>项目监理工作范围</w:t>
      </w:r>
    </w:p>
    <w:p>
      <w:pPr>
        <w:pStyle w:val="12"/>
        <w:rPr>
          <w:rFonts w:hAnsi="宋体"/>
          <w:sz w:val="24"/>
        </w:rPr>
      </w:pPr>
      <w:r>
        <w:rPr>
          <w:rFonts w:hint="eastAsia" w:hAnsi="宋体"/>
          <w:sz w:val="24"/>
        </w:rPr>
        <w:t>（一）总体要求</w:t>
      </w:r>
    </w:p>
    <w:p>
      <w:pPr>
        <w:widowControl/>
        <w:spacing w:line="360" w:lineRule="auto"/>
        <w:ind w:firstLine="375" w:firstLineChars="200"/>
        <w:jc w:val="left"/>
      </w:pPr>
      <w:r>
        <w:rPr>
          <w:rFonts w:hint="eastAsia"/>
        </w:rPr>
        <w:t>投标人的监理方案需涵盖从施工到工程竣工验收全过程，包括建设内容、监理要求、监理内容、质量管理方式、组织实施、进度安排、培训与售后服务、工程分阶段验收和竣工验收等。监理方案应明确监理的各项运行，包括监理人员的相关资料、职能分配及工作流程，各项监理工作的相关负责人等，并认真履行全过程监理职责。</w:t>
      </w:r>
    </w:p>
    <w:p>
      <w:pPr>
        <w:widowControl/>
        <w:spacing w:line="360" w:lineRule="auto"/>
        <w:ind w:firstLine="375" w:firstLineChars="200"/>
        <w:jc w:val="left"/>
      </w:pPr>
      <w:r>
        <w:rPr>
          <w:rFonts w:hint="eastAsia"/>
        </w:rPr>
        <w:t>在项目进入实施阶段后，监理方应建立良好的协调和沟通机制，以及必要的工作制度，加强建设单位与承建单位之间的多方沟通，使承建单位能够更全面、准确的了解建设单位的实际需求。同时，监理方应让建设单位及时了解项目的进展情况，建立与建设单位、承建单位之间的良好合作协调机制，形成合力，高质高效完成项目建设。</w:t>
      </w:r>
    </w:p>
    <w:p>
      <w:pPr>
        <w:widowControl/>
        <w:spacing w:line="360" w:lineRule="auto"/>
        <w:ind w:firstLine="375" w:firstLineChars="200"/>
        <w:jc w:val="left"/>
      </w:pPr>
      <w:r>
        <w:rPr>
          <w:rFonts w:hint="eastAsia"/>
        </w:rPr>
        <w:t>项目建设的全过程需有一套明确、合理、可行的标准、规程和检验方式，以及相应的监管办法。监理方需提供监理本工程所需的监理工具。</w:t>
      </w:r>
    </w:p>
    <w:p>
      <w:pPr>
        <w:widowControl/>
        <w:spacing w:line="360" w:lineRule="auto"/>
        <w:ind w:firstLine="375" w:firstLineChars="200"/>
        <w:jc w:val="left"/>
      </w:pPr>
      <w:r>
        <w:rPr>
          <w:rFonts w:hint="eastAsia"/>
        </w:rPr>
        <w:t>监理方应保证项目的关键技术指标在项目实施过程中处于受控状态，及早预测可能影响实施计划的各种因素，及时预防和纠正可能影响系统功能和性能所出现的问题</w:t>
      </w:r>
      <w:r>
        <w:t>,确保项目保质、按期和在合理的资金预算范围内进行实施建设。</w:t>
      </w:r>
    </w:p>
    <w:p>
      <w:pPr>
        <w:widowControl/>
        <w:spacing w:line="360" w:lineRule="auto"/>
        <w:ind w:firstLine="375" w:firstLineChars="200"/>
        <w:jc w:val="left"/>
      </w:pPr>
      <w:r>
        <w:rPr>
          <w:rFonts w:hint="eastAsia"/>
        </w:rPr>
        <w:t>监理方应对工程质量水平进行综合评定。提交建设单位所需要的工程质量技术文档，包括监理日报、周报、月报、测试文档、测试报告和竣工报告等。</w:t>
      </w:r>
    </w:p>
    <w:p>
      <w:pPr>
        <w:pStyle w:val="12"/>
        <w:rPr>
          <w:rFonts w:hAnsi="宋体"/>
          <w:sz w:val="24"/>
        </w:rPr>
      </w:pPr>
      <w:r>
        <w:rPr>
          <w:rFonts w:hint="eastAsia" w:hAnsi="宋体"/>
          <w:sz w:val="24"/>
        </w:rPr>
        <w:t>（二）监理范围</w:t>
      </w:r>
    </w:p>
    <w:p>
      <w:pPr>
        <w:widowControl/>
        <w:spacing w:line="360" w:lineRule="auto"/>
        <w:ind w:firstLine="375" w:firstLineChars="200"/>
        <w:jc w:val="left"/>
      </w:pPr>
      <w:r>
        <w:rPr>
          <w:rFonts w:hint="eastAsia"/>
        </w:rPr>
        <w:t>根据本项目招标文件及委托监理合同中明确规定委托的监理工作范围，在广州市公共交通集团有限公司授权的范围内，对广州市公共交通集团有限公司大数据共享与管理项目进行设计、实施、验收工程监理，监理过程严格按照有关规定开展工作，对项目的进度、质量和投资进行有效的控制和管理、督促、检查承建单位落实安全、质量保证措施，做好组织协调工作，为广州市公共交通集团有限公司提供技术、经济和法律等方面的咨询服务，协助实现预定的合理建设目标：</w:t>
      </w:r>
    </w:p>
    <w:p>
      <w:pPr>
        <w:widowControl/>
        <w:spacing w:line="360" w:lineRule="auto"/>
        <w:ind w:firstLine="375" w:firstLineChars="200"/>
        <w:jc w:val="left"/>
      </w:pPr>
      <w:r>
        <w:rPr>
          <w:rFonts w:hint="eastAsia"/>
        </w:rPr>
        <w:t>1．硬件设备及系统集成监理</w:t>
      </w:r>
    </w:p>
    <w:p>
      <w:pPr>
        <w:widowControl/>
        <w:spacing w:line="360" w:lineRule="auto"/>
        <w:ind w:firstLine="375" w:firstLineChars="200"/>
        <w:jc w:val="left"/>
      </w:pPr>
      <w:r>
        <w:rPr>
          <w:rFonts w:hint="eastAsia"/>
        </w:rPr>
        <w:t>本监理项目包括为硬件安装和系统集成提供监理服务，具体的监理工作包括：</w:t>
      </w:r>
    </w:p>
    <w:p>
      <w:pPr>
        <w:pStyle w:val="13"/>
        <w:numPr>
          <w:ilvl w:val="0"/>
          <w:numId w:val="4"/>
        </w:numPr>
        <w:spacing w:line="460" w:lineRule="exact"/>
        <w:rPr>
          <w:rFonts w:ascii="宋体" w:hAnsi="宋体"/>
          <w:color w:val="000000"/>
          <w:sz w:val="24"/>
        </w:rPr>
      </w:pPr>
      <w:r>
        <w:rPr>
          <w:rFonts w:hint="eastAsia" w:ascii="宋体" w:hAnsi="宋体"/>
          <w:color w:val="000000"/>
          <w:sz w:val="24"/>
        </w:rPr>
        <w:t>对所有设备从订货到验收的全过程进行监督；</w:t>
      </w:r>
    </w:p>
    <w:p>
      <w:pPr>
        <w:pStyle w:val="13"/>
        <w:numPr>
          <w:ilvl w:val="0"/>
          <w:numId w:val="4"/>
        </w:numPr>
        <w:spacing w:line="460" w:lineRule="exact"/>
        <w:rPr>
          <w:rFonts w:ascii="宋体" w:hAnsi="宋体"/>
          <w:color w:val="000000"/>
          <w:sz w:val="24"/>
        </w:rPr>
      </w:pPr>
      <w:r>
        <w:rPr>
          <w:rFonts w:hint="eastAsia" w:ascii="宋体" w:hAnsi="宋体"/>
          <w:color w:val="000000"/>
          <w:sz w:val="24"/>
        </w:rPr>
        <w:t>对本项目硬件设备进行到货验收、安装调试和系统集成的监理、运行监测、验收测试。</w:t>
      </w:r>
    </w:p>
    <w:p>
      <w:pPr>
        <w:pStyle w:val="13"/>
        <w:numPr>
          <w:ilvl w:val="0"/>
          <w:numId w:val="4"/>
        </w:numPr>
        <w:spacing w:line="460" w:lineRule="exact"/>
        <w:rPr>
          <w:rFonts w:ascii="宋体" w:hAnsi="宋体"/>
          <w:color w:val="000000"/>
          <w:sz w:val="24"/>
        </w:rPr>
      </w:pPr>
      <w:r>
        <w:rPr>
          <w:rFonts w:hint="eastAsia" w:ascii="宋体" w:hAnsi="宋体"/>
          <w:color w:val="000000"/>
          <w:sz w:val="24"/>
        </w:rPr>
        <w:t>对硬件设备安装调试计划及集成方案进行审核；</w:t>
      </w:r>
    </w:p>
    <w:p>
      <w:pPr>
        <w:pStyle w:val="13"/>
        <w:numPr>
          <w:ilvl w:val="0"/>
          <w:numId w:val="4"/>
        </w:numPr>
        <w:spacing w:line="460" w:lineRule="exact"/>
        <w:rPr>
          <w:rFonts w:ascii="宋体" w:hAnsi="宋体"/>
          <w:color w:val="000000"/>
          <w:sz w:val="24"/>
        </w:rPr>
      </w:pPr>
      <w:r>
        <w:rPr>
          <w:rFonts w:hint="eastAsia" w:ascii="宋体" w:hAnsi="宋体"/>
          <w:color w:val="000000"/>
          <w:sz w:val="24"/>
        </w:rPr>
        <w:t>对设备及系统软件的安装调试进行全过程监督；</w:t>
      </w:r>
    </w:p>
    <w:p>
      <w:pPr>
        <w:pStyle w:val="13"/>
        <w:numPr>
          <w:ilvl w:val="0"/>
          <w:numId w:val="4"/>
        </w:numPr>
        <w:spacing w:line="460" w:lineRule="exact"/>
        <w:rPr>
          <w:rFonts w:ascii="宋体" w:hAnsi="宋体"/>
          <w:color w:val="000000"/>
          <w:sz w:val="24"/>
        </w:rPr>
      </w:pPr>
      <w:r>
        <w:rPr>
          <w:rFonts w:hint="eastAsia" w:ascii="宋体" w:hAnsi="宋体"/>
          <w:color w:val="000000"/>
          <w:sz w:val="24"/>
        </w:rPr>
        <w:t>对系统集成结果进行验收监理。</w:t>
      </w:r>
    </w:p>
    <w:p>
      <w:pPr>
        <w:pStyle w:val="13"/>
        <w:numPr>
          <w:ilvl w:val="0"/>
          <w:numId w:val="4"/>
        </w:numPr>
        <w:spacing w:line="460" w:lineRule="exact"/>
        <w:rPr>
          <w:rFonts w:ascii="宋体" w:hAnsi="宋体"/>
          <w:color w:val="000000"/>
          <w:sz w:val="24"/>
        </w:rPr>
      </w:pPr>
      <w:r>
        <w:rPr>
          <w:rFonts w:hint="eastAsia" w:ascii="宋体" w:hAnsi="宋体"/>
          <w:color w:val="000000"/>
          <w:sz w:val="24"/>
        </w:rPr>
        <w:t>系统集成方案的审核和确认；</w:t>
      </w:r>
    </w:p>
    <w:p>
      <w:pPr>
        <w:pStyle w:val="13"/>
        <w:numPr>
          <w:ilvl w:val="0"/>
          <w:numId w:val="4"/>
        </w:numPr>
        <w:spacing w:line="460" w:lineRule="exact"/>
        <w:rPr>
          <w:rFonts w:ascii="宋体" w:hAnsi="宋体"/>
          <w:color w:val="000000"/>
          <w:sz w:val="24"/>
        </w:rPr>
      </w:pPr>
      <w:r>
        <w:rPr>
          <w:rFonts w:hint="eastAsia" w:ascii="宋体" w:hAnsi="宋体"/>
          <w:color w:val="000000"/>
          <w:sz w:val="24"/>
        </w:rPr>
        <w:t>审核关键设备、系统软件选型方案，协助系统集成商和建设单位进行选型；</w:t>
      </w:r>
    </w:p>
    <w:p>
      <w:pPr>
        <w:pStyle w:val="13"/>
        <w:numPr>
          <w:ilvl w:val="0"/>
          <w:numId w:val="4"/>
        </w:numPr>
        <w:spacing w:line="460" w:lineRule="exact"/>
        <w:rPr>
          <w:rFonts w:ascii="宋体" w:hAnsi="宋体"/>
          <w:color w:val="000000"/>
          <w:sz w:val="24"/>
        </w:rPr>
      </w:pPr>
      <w:r>
        <w:rPr>
          <w:rFonts w:hint="eastAsia" w:ascii="宋体" w:hAnsi="宋体"/>
          <w:color w:val="000000"/>
          <w:sz w:val="24"/>
        </w:rPr>
        <w:t>对采购的硬件设备的质量进行检验、测试和验收；</w:t>
      </w:r>
    </w:p>
    <w:p>
      <w:pPr>
        <w:pStyle w:val="13"/>
        <w:numPr>
          <w:ilvl w:val="0"/>
          <w:numId w:val="4"/>
        </w:numPr>
        <w:spacing w:line="460" w:lineRule="exact"/>
        <w:rPr>
          <w:rFonts w:ascii="宋体" w:hAnsi="宋体"/>
          <w:color w:val="000000"/>
          <w:sz w:val="24"/>
        </w:rPr>
      </w:pPr>
      <w:r>
        <w:rPr>
          <w:rFonts w:hint="eastAsia" w:ascii="宋体" w:hAnsi="宋体"/>
          <w:color w:val="000000"/>
          <w:sz w:val="24"/>
        </w:rPr>
        <w:t>对设备安装、系统软件的安装调试进行验收；</w:t>
      </w:r>
    </w:p>
    <w:p>
      <w:pPr>
        <w:pStyle w:val="13"/>
        <w:numPr>
          <w:ilvl w:val="0"/>
          <w:numId w:val="4"/>
        </w:numPr>
        <w:spacing w:line="460" w:lineRule="exact"/>
        <w:rPr>
          <w:rFonts w:ascii="宋体" w:hAnsi="宋体"/>
          <w:color w:val="000000"/>
          <w:sz w:val="24"/>
        </w:rPr>
      </w:pPr>
      <w:r>
        <w:rPr>
          <w:rFonts w:hint="eastAsia" w:ascii="宋体" w:hAnsi="宋体"/>
          <w:color w:val="000000"/>
          <w:sz w:val="24"/>
        </w:rPr>
        <w:t>对系统集成进行总体验收。</w:t>
      </w:r>
    </w:p>
    <w:p>
      <w:pPr>
        <w:widowControl/>
        <w:spacing w:line="360" w:lineRule="auto"/>
        <w:ind w:firstLine="375" w:firstLineChars="200"/>
        <w:jc w:val="left"/>
      </w:pPr>
      <w:r>
        <w:rPr>
          <w:rFonts w:hint="eastAsia"/>
        </w:rPr>
        <w:t>2.软件开发监理</w:t>
      </w:r>
    </w:p>
    <w:p>
      <w:pPr>
        <w:widowControl/>
        <w:spacing w:line="360" w:lineRule="auto"/>
        <w:ind w:firstLine="375" w:firstLineChars="200"/>
        <w:jc w:val="left"/>
      </w:pPr>
      <w:r>
        <w:rPr>
          <w:rFonts w:hint="eastAsia"/>
        </w:rPr>
        <w:t>要求监理方对整个大数据共享与管理平台体系软件开发的全过程提供以下的监理服务。</w:t>
      </w:r>
    </w:p>
    <w:p>
      <w:pPr>
        <w:pStyle w:val="13"/>
        <w:numPr>
          <w:ilvl w:val="0"/>
          <w:numId w:val="5"/>
        </w:numPr>
        <w:spacing w:line="460" w:lineRule="exact"/>
        <w:rPr>
          <w:rFonts w:ascii="宋体" w:hAnsi="宋体"/>
          <w:color w:val="000000"/>
          <w:sz w:val="24"/>
        </w:rPr>
      </w:pPr>
      <w:r>
        <w:rPr>
          <w:rFonts w:hint="eastAsia" w:ascii="宋体" w:hAnsi="宋体"/>
          <w:color w:val="000000"/>
          <w:sz w:val="24"/>
        </w:rPr>
        <w:t>审核项目开发方案中的主要功能是否符合用户需求，软件系统架构能否优化；</w:t>
      </w:r>
    </w:p>
    <w:p>
      <w:pPr>
        <w:pStyle w:val="13"/>
        <w:numPr>
          <w:ilvl w:val="0"/>
          <w:numId w:val="5"/>
        </w:numPr>
        <w:spacing w:line="460" w:lineRule="exact"/>
        <w:rPr>
          <w:rFonts w:ascii="宋体" w:hAnsi="宋体"/>
          <w:color w:val="000000"/>
          <w:sz w:val="24"/>
        </w:rPr>
      </w:pPr>
      <w:r>
        <w:rPr>
          <w:rFonts w:hint="eastAsia" w:ascii="宋体" w:hAnsi="宋体"/>
          <w:color w:val="000000"/>
          <w:sz w:val="24"/>
        </w:rPr>
        <w:t>协助建设单位组织审核实施方案技术上是否可行，是否与项目建设合同相符，是否符合相关的法律、法规和标准；</w:t>
      </w:r>
    </w:p>
    <w:p>
      <w:pPr>
        <w:pStyle w:val="13"/>
        <w:numPr>
          <w:ilvl w:val="0"/>
          <w:numId w:val="5"/>
        </w:numPr>
        <w:spacing w:line="460" w:lineRule="exact"/>
        <w:rPr>
          <w:rFonts w:ascii="宋体" w:hAnsi="宋体"/>
          <w:color w:val="000000"/>
          <w:sz w:val="24"/>
        </w:rPr>
      </w:pPr>
      <w:r>
        <w:rPr>
          <w:rFonts w:hint="eastAsia" w:ascii="宋体" w:hAnsi="宋体"/>
          <w:color w:val="000000"/>
          <w:sz w:val="24"/>
        </w:rPr>
        <w:t>对软件开发包括需求调研与分析、系统设计、开发实现、系统部署、测试、试运行、验收和质保期等阶段进行监督管理。</w:t>
      </w:r>
    </w:p>
    <w:p>
      <w:pPr>
        <w:pStyle w:val="13"/>
        <w:numPr>
          <w:ilvl w:val="0"/>
          <w:numId w:val="5"/>
        </w:numPr>
        <w:spacing w:line="460" w:lineRule="exact"/>
        <w:rPr>
          <w:rFonts w:ascii="宋体" w:hAnsi="宋体"/>
          <w:color w:val="000000"/>
          <w:sz w:val="24"/>
        </w:rPr>
      </w:pPr>
      <w:r>
        <w:rPr>
          <w:rFonts w:hint="eastAsia" w:ascii="宋体" w:hAnsi="宋体"/>
          <w:color w:val="000000"/>
          <w:sz w:val="24"/>
        </w:rPr>
        <w:t>对项目实施计划、实施方案、软件需求说明书及系统设计方案提供咨询设计和审核意见、对各项目实施进度和质量控制提出可行方案。</w:t>
      </w:r>
    </w:p>
    <w:p>
      <w:pPr>
        <w:pStyle w:val="13"/>
        <w:numPr>
          <w:ilvl w:val="0"/>
          <w:numId w:val="5"/>
        </w:numPr>
        <w:spacing w:line="460" w:lineRule="exact"/>
        <w:rPr>
          <w:rFonts w:ascii="宋体" w:hAnsi="宋体"/>
          <w:color w:val="000000"/>
          <w:sz w:val="24"/>
        </w:rPr>
      </w:pPr>
      <w:r>
        <w:rPr>
          <w:rFonts w:hint="eastAsia" w:ascii="宋体" w:hAnsi="宋体"/>
          <w:color w:val="000000"/>
          <w:sz w:val="24"/>
        </w:rPr>
        <w:t>对承建单位内部测试方案、测试工作的督促检查;测试用例的编写及检查;并组织三方共同进行功能测试及性能测试。</w:t>
      </w:r>
    </w:p>
    <w:p>
      <w:pPr>
        <w:pStyle w:val="13"/>
        <w:numPr>
          <w:ilvl w:val="0"/>
          <w:numId w:val="5"/>
        </w:numPr>
        <w:spacing w:line="460" w:lineRule="exact"/>
        <w:rPr>
          <w:rFonts w:ascii="宋体" w:hAnsi="宋体"/>
          <w:color w:val="000000"/>
          <w:sz w:val="24"/>
        </w:rPr>
      </w:pPr>
      <w:r>
        <w:rPr>
          <w:rFonts w:hint="eastAsia" w:ascii="宋体" w:hAnsi="宋体"/>
          <w:color w:val="000000"/>
          <w:sz w:val="24"/>
        </w:rPr>
        <w:t>审核系统整合方案，提出技术改进意见等。</w:t>
      </w:r>
    </w:p>
    <w:p>
      <w:pPr>
        <w:widowControl/>
        <w:spacing w:line="360" w:lineRule="auto"/>
        <w:ind w:firstLine="375" w:firstLineChars="200"/>
        <w:jc w:val="left"/>
      </w:pPr>
      <w:r>
        <w:rPr>
          <w:rFonts w:hint="eastAsia"/>
        </w:rPr>
        <w:t>3.技术培训监理</w:t>
      </w:r>
    </w:p>
    <w:p>
      <w:pPr>
        <w:widowControl/>
        <w:spacing w:line="360" w:lineRule="auto"/>
        <w:ind w:firstLine="375" w:firstLineChars="200"/>
        <w:jc w:val="left"/>
      </w:pPr>
      <w:r>
        <w:rPr>
          <w:rFonts w:hint="eastAsia"/>
        </w:rPr>
        <w:t>工程项目投入使用前，监理方将协助建设单位督促承建单位完成向本项目涉及的使用人员提供相应的操作培训，确保系统正确使用，监理方提供的监理服务和要求如下：</w:t>
      </w:r>
    </w:p>
    <w:p>
      <w:pPr>
        <w:pStyle w:val="13"/>
        <w:numPr>
          <w:ilvl w:val="0"/>
          <w:numId w:val="6"/>
        </w:numPr>
        <w:spacing w:line="460" w:lineRule="exact"/>
        <w:rPr>
          <w:rFonts w:ascii="宋体" w:hAnsi="宋体"/>
          <w:color w:val="000000"/>
          <w:sz w:val="24"/>
        </w:rPr>
      </w:pPr>
      <w:r>
        <w:rPr>
          <w:rFonts w:hint="eastAsia" w:ascii="宋体" w:hAnsi="宋体"/>
          <w:color w:val="000000"/>
          <w:sz w:val="24"/>
        </w:rPr>
        <w:t>督促承建单位确定培训的类型、水平以及需要培训人员的类别。制订实施进度安排、资源需求和培训需求的培训计划，并形成文档、提交建设单位。</w:t>
      </w:r>
    </w:p>
    <w:p>
      <w:pPr>
        <w:pStyle w:val="13"/>
        <w:numPr>
          <w:ilvl w:val="0"/>
          <w:numId w:val="6"/>
        </w:numPr>
        <w:spacing w:line="460" w:lineRule="exact"/>
        <w:rPr>
          <w:rFonts w:ascii="宋体" w:hAnsi="宋体"/>
          <w:color w:val="000000"/>
          <w:sz w:val="24"/>
        </w:rPr>
      </w:pPr>
      <w:r>
        <w:rPr>
          <w:rFonts w:hint="eastAsia" w:ascii="宋体" w:hAnsi="宋体"/>
          <w:color w:val="000000"/>
          <w:sz w:val="24"/>
        </w:rPr>
        <w:t>监督承建单位按照计划的要求开展培训阶段的活动。</w:t>
      </w:r>
    </w:p>
    <w:p>
      <w:pPr>
        <w:pStyle w:val="13"/>
        <w:numPr>
          <w:ilvl w:val="0"/>
          <w:numId w:val="6"/>
        </w:numPr>
        <w:spacing w:line="460" w:lineRule="exact"/>
        <w:rPr>
          <w:rFonts w:ascii="宋体" w:hAnsi="宋体"/>
          <w:color w:val="000000"/>
          <w:sz w:val="24"/>
        </w:rPr>
      </w:pPr>
      <w:r>
        <w:rPr>
          <w:rFonts w:hint="eastAsia" w:ascii="宋体" w:hAnsi="宋体"/>
          <w:color w:val="000000"/>
          <w:sz w:val="24"/>
        </w:rPr>
        <w:t>对培训进行记录并保存，并将有关文档提交建设单位。</w:t>
      </w:r>
    </w:p>
    <w:p>
      <w:pPr>
        <w:pStyle w:val="13"/>
        <w:numPr>
          <w:ilvl w:val="0"/>
          <w:numId w:val="6"/>
        </w:numPr>
        <w:spacing w:line="460" w:lineRule="exact"/>
        <w:rPr>
          <w:rFonts w:ascii="宋体" w:hAnsi="宋体"/>
          <w:color w:val="000000"/>
          <w:sz w:val="24"/>
        </w:rPr>
      </w:pPr>
      <w:r>
        <w:rPr>
          <w:rFonts w:hint="eastAsia" w:ascii="宋体" w:hAnsi="宋体"/>
          <w:color w:val="000000"/>
          <w:sz w:val="24"/>
        </w:rPr>
        <w:t>评价培训效果,形成监理意见，并提交建设单位。</w:t>
      </w:r>
    </w:p>
    <w:p>
      <w:pPr>
        <w:pStyle w:val="13"/>
        <w:numPr>
          <w:ilvl w:val="0"/>
          <w:numId w:val="6"/>
        </w:numPr>
        <w:spacing w:line="460" w:lineRule="exact"/>
        <w:rPr>
          <w:rFonts w:ascii="宋体" w:hAnsi="宋体"/>
          <w:color w:val="000000"/>
          <w:sz w:val="24"/>
        </w:rPr>
      </w:pPr>
      <w:r>
        <w:rPr>
          <w:rFonts w:hint="eastAsia" w:ascii="宋体" w:hAnsi="宋体"/>
          <w:color w:val="000000"/>
          <w:sz w:val="24"/>
        </w:rPr>
        <w:t>收集整理培训中提出的用户需求变更以及培训变更等事宜。</w:t>
      </w:r>
    </w:p>
    <w:p>
      <w:pPr>
        <w:pStyle w:val="13"/>
        <w:spacing w:line="460" w:lineRule="exact"/>
        <w:ind w:left="480"/>
        <w:rPr>
          <w:rFonts w:ascii="宋体" w:hAnsi="宋体"/>
          <w:color w:val="000000"/>
          <w:sz w:val="24"/>
        </w:rPr>
      </w:pPr>
      <w:r>
        <w:rPr>
          <w:rFonts w:hint="eastAsia" w:ascii="宋体" w:hAnsi="宋体"/>
          <w:color w:val="000000"/>
          <w:sz w:val="24"/>
        </w:rPr>
        <w:t>4.其它相关的监理内容</w:t>
      </w:r>
    </w:p>
    <w:p>
      <w:pPr>
        <w:pStyle w:val="13"/>
        <w:numPr>
          <w:ilvl w:val="0"/>
          <w:numId w:val="7"/>
        </w:numPr>
        <w:spacing w:line="460" w:lineRule="exact"/>
        <w:rPr>
          <w:rFonts w:ascii="宋体" w:hAnsi="宋体"/>
          <w:color w:val="000000"/>
          <w:sz w:val="24"/>
        </w:rPr>
      </w:pPr>
      <w:r>
        <w:rPr>
          <w:rFonts w:hint="eastAsia" w:ascii="宋体" w:hAnsi="宋体"/>
          <w:color w:val="000000"/>
          <w:sz w:val="24"/>
        </w:rPr>
        <w:t>进行工程实施过程监理，执行阶段性质量控制措施，并做监理日志；</w:t>
      </w:r>
    </w:p>
    <w:p>
      <w:pPr>
        <w:pStyle w:val="13"/>
        <w:numPr>
          <w:ilvl w:val="0"/>
          <w:numId w:val="7"/>
        </w:numPr>
        <w:spacing w:line="460" w:lineRule="exact"/>
        <w:rPr>
          <w:rFonts w:ascii="宋体" w:hAnsi="宋体"/>
          <w:color w:val="000000"/>
          <w:sz w:val="24"/>
        </w:rPr>
      </w:pPr>
      <w:r>
        <w:rPr>
          <w:rFonts w:hint="eastAsia" w:ascii="宋体" w:hAnsi="宋体"/>
          <w:color w:val="000000"/>
          <w:sz w:val="24"/>
        </w:rPr>
        <w:t>发起召开项目实施会议，编写会议纪要，并发送相关各方签收确认；</w:t>
      </w:r>
    </w:p>
    <w:p>
      <w:pPr>
        <w:pStyle w:val="13"/>
        <w:numPr>
          <w:ilvl w:val="0"/>
          <w:numId w:val="7"/>
        </w:numPr>
        <w:spacing w:line="460" w:lineRule="exact"/>
        <w:rPr>
          <w:rFonts w:ascii="宋体" w:hAnsi="宋体"/>
          <w:color w:val="000000"/>
          <w:sz w:val="24"/>
        </w:rPr>
      </w:pPr>
      <w:r>
        <w:rPr>
          <w:rFonts w:hint="eastAsia" w:ascii="宋体" w:hAnsi="宋体"/>
          <w:color w:val="000000"/>
          <w:sz w:val="24"/>
        </w:rPr>
        <w:t>及时处理承建单位提交的工程关键环节实施申请；</w:t>
      </w:r>
    </w:p>
    <w:p>
      <w:pPr>
        <w:pStyle w:val="13"/>
        <w:numPr>
          <w:ilvl w:val="0"/>
          <w:numId w:val="7"/>
        </w:numPr>
        <w:spacing w:line="460" w:lineRule="exact"/>
        <w:rPr>
          <w:rFonts w:ascii="宋体" w:hAnsi="宋体"/>
          <w:color w:val="000000"/>
          <w:sz w:val="24"/>
        </w:rPr>
      </w:pPr>
      <w:r>
        <w:rPr>
          <w:rFonts w:hint="eastAsia" w:ascii="宋体" w:hAnsi="宋体"/>
          <w:color w:val="000000"/>
          <w:sz w:val="24"/>
        </w:rPr>
        <w:t>审核承建单位提交的工程阶段性报告；</w:t>
      </w:r>
    </w:p>
    <w:p>
      <w:pPr>
        <w:pStyle w:val="13"/>
        <w:numPr>
          <w:ilvl w:val="0"/>
          <w:numId w:val="7"/>
        </w:numPr>
        <w:spacing w:line="460" w:lineRule="exact"/>
        <w:rPr>
          <w:rFonts w:ascii="宋体" w:hAnsi="宋体"/>
          <w:color w:val="000000"/>
          <w:sz w:val="24"/>
        </w:rPr>
      </w:pPr>
      <w:r>
        <w:rPr>
          <w:rFonts w:hint="eastAsia" w:ascii="宋体" w:hAnsi="宋体"/>
          <w:color w:val="000000"/>
          <w:sz w:val="24"/>
        </w:rPr>
        <w:t>处理工程变更申请，促使工程变更合理、受控；</w:t>
      </w:r>
    </w:p>
    <w:p>
      <w:pPr>
        <w:pStyle w:val="13"/>
        <w:numPr>
          <w:ilvl w:val="0"/>
          <w:numId w:val="7"/>
        </w:numPr>
        <w:spacing w:line="460" w:lineRule="exact"/>
        <w:rPr>
          <w:rFonts w:ascii="宋体" w:hAnsi="宋体"/>
          <w:color w:val="000000"/>
          <w:sz w:val="24"/>
        </w:rPr>
      </w:pPr>
      <w:r>
        <w:rPr>
          <w:rFonts w:hint="eastAsia" w:ascii="宋体" w:hAnsi="宋体"/>
          <w:color w:val="000000"/>
          <w:sz w:val="24"/>
        </w:rPr>
        <w:t>组织对承建单位提供的主要设备、产品及服务进行验收，对验收结果做验收记录；</w:t>
      </w:r>
    </w:p>
    <w:p>
      <w:pPr>
        <w:pStyle w:val="13"/>
        <w:numPr>
          <w:ilvl w:val="0"/>
          <w:numId w:val="7"/>
        </w:numPr>
        <w:spacing w:line="460" w:lineRule="exact"/>
        <w:rPr>
          <w:rFonts w:ascii="宋体" w:hAnsi="宋体"/>
          <w:color w:val="000000"/>
          <w:sz w:val="24"/>
        </w:rPr>
      </w:pPr>
      <w:r>
        <w:rPr>
          <w:rFonts w:hint="eastAsia" w:ascii="宋体" w:hAnsi="宋体"/>
          <w:color w:val="000000"/>
          <w:sz w:val="24"/>
        </w:rPr>
        <w:t>对项目进度进行把控，促使项目在合同工期内完工；</w:t>
      </w:r>
    </w:p>
    <w:p>
      <w:pPr>
        <w:pStyle w:val="13"/>
        <w:numPr>
          <w:ilvl w:val="0"/>
          <w:numId w:val="7"/>
        </w:numPr>
        <w:spacing w:line="460" w:lineRule="exact"/>
        <w:rPr>
          <w:rFonts w:ascii="宋体" w:hAnsi="宋体"/>
          <w:color w:val="000000"/>
          <w:sz w:val="24"/>
        </w:rPr>
      </w:pPr>
      <w:r>
        <w:rPr>
          <w:rFonts w:hint="eastAsia" w:ascii="宋体" w:hAnsi="宋体"/>
          <w:color w:val="000000"/>
          <w:sz w:val="24"/>
        </w:rPr>
        <w:t>对项目资金使用情况进行监控，严格把控项目变更成本；</w:t>
      </w:r>
    </w:p>
    <w:p>
      <w:pPr>
        <w:pStyle w:val="13"/>
        <w:numPr>
          <w:ilvl w:val="0"/>
          <w:numId w:val="7"/>
        </w:numPr>
        <w:spacing w:line="460" w:lineRule="exact"/>
        <w:rPr>
          <w:rFonts w:ascii="宋体" w:hAnsi="宋体"/>
          <w:color w:val="000000"/>
          <w:sz w:val="24"/>
        </w:rPr>
      </w:pPr>
      <w:r>
        <w:rPr>
          <w:rFonts w:hint="eastAsia" w:ascii="宋体" w:hAnsi="宋体"/>
          <w:color w:val="000000"/>
          <w:sz w:val="24"/>
        </w:rPr>
        <w:t>按照既定程序处理工程中出现的质量事故；</w:t>
      </w:r>
    </w:p>
    <w:p>
      <w:pPr>
        <w:pStyle w:val="13"/>
        <w:numPr>
          <w:ilvl w:val="0"/>
          <w:numId w:val="7"/>
        </w:numPr>
        <w:spacing w:line="460" w:lineRule="exact"/>
        <w:rPr>
          <w:rFonts w:ascii="宋体" w:hAnsi="宋体"/>
          <w:color w:val="000000"/>
          <w:sz w:val="24"/>
        </w:rPr>
      </w:pPr>
      <w:r>
        <w:rPr>
          <w:rFonts w:hint="eastAsia" w:ascii="宋体" w:hAnsi="宋体"/>
          <w:color w:val="000000"/>
          <w:sz w:val="24"/>
        </w:rPr>
        <w:t>建立项目沟通和协调机制，积极促进各方协作，推动项目的实施进展；</w:t>
      </w:r>
    </w:p>
    <w:p>
      <w:pPr>
        <w:pStyle w:val="13"/>
        <w:numPr>
          <w:ilvl w:val="0"/>
          <w:numId w:val="7"/>
        </w:numPr>
        <w:spacing w:line="460" w:lineRule="exact"/>
        <w:rPr>
          <w:rFonts w:ascii="宋体" w:hAnsi="宋体"/>
          <w:color w:val="000000"/>
          <w:sz w:val="24"/>
        </w:rPr>
      </w:pPr>
      <w:r>
        <w:rPr>
          <w:rFonts w:hint="eastAsia" w:ascii="宋体" w:hAnsi="宋体"/>
          <w:color w:val="000000"/>
          <w:sz w:val="24"/>
        </w:rPr>
        <w:t>做好项目过程的合同管理工作；</w:t>
      </w:r>
    </w:p>
    <w:p>
      <w:pPr>
        <w:pStyle w:val="13"/>
        <w:numPr>
          <w:ilvl w:val="0"/>
          <w:numId w:val="7"/>
        </w:numPr>
        <w:spacing w:line="460" w:lineRule="exact"/>
        <w:rPr>
          <w:rFonts w:ascii="宋体" w:hAnsi="宋体"/>
          <w:color w:val="000000"/>
          <w:sz w:val="24"/>
        </w:rPr>
      </w:pPr>
      <w:r>
        <w:rPr>
          <w:rFonts w:hint="eastAsia" w:ascii="宋体" w:hAnsi="宋体"/>
          <w:color w:val="000000"/>
          <w:sz w:val="24"/>
        </w:rPr>
        <w:t>做好项目过程的信息管理和协调工作。</w:t>
      </w:r>
    </w:p>
    <w:p>
      <w:pPr>
        <w:pStyle w:val="12"/>
        <w:rPr>
          <w:rFonts w:hAnsi="宋体"/>
          <w:sz w:val="24"/>
        </w:rPr>
      </w:pPr>
      <w:r>
        <w:rPr>
          <w:rFonts w:hint="eastAsia" w:hAnsi="宋体"/>
          <w:sz w:val="24"/>
        </w:rPr>
        <w:t>（三）各阶段监理工作要求</w:t>
      </w:r>
    </w:p>
    <w:p>
      <w:pPr>
        <w:pStyle w:val="13"/>
        <w:spacing w:line="460" w:lineRule="exact"/>
        <w:ind w:firstLine="435" w:firstLineChars="200"/>
        <w:rPr>
          <w:rFonts w:ascii="宋体" w:hAnsi="宋体"/>
          <w:color w:val="000000"/>
          <w:sz w:val="24"/>
        </w:rPr>
      </w:pPr>
      <w:r>
        <w:rPr>
          <w:rFonts w:hint="eastAsia" w:ascii="宋体" w:hAnsi="宋体"/>
          <w:color w:val="000000"/>
          <w:sz w:val="24"/>
        </w:rPr>
        <w:t>1.需求分析阶段的监理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需求分析阶段监理工作的总体要求为：</w:t>
      </w:r>
    </w:p>
    <w:p>
      <w:pPr>
        <w:pStyle w:val="13"/>
        <w:numPr>
          <w:ilvl w:val="0"/>
          <w:numId w:val="8"/>
        </w:numPr>
        <w:spacing w:line="460" w:lineRule="exact"/>
        <w:rPr>
          <w:rFonts w:ascii="宋体" w:hAnsi="宋体"/>
          <w:color w:val="000000"/>
          <w:sz w:val="24"/>
        </w:rPr>
      </w:pPr>
      <w:r>
        <w:rPr>
          <w:rFonts w:hint="eastAsia" w:ascii="宋体" w:hAnsi="宋体"/>
          <w:color w:val="000000"/>
          <w:sz w:val="24"/>
        </w:rPr>
        <w:t>督促承建单位实施制定详细的需求调研、需求分析计划并提交建设单位。</w:t>
      </w:r>
    </w:p>
    <w:p>
      <w:pPr>
        <w:pStyle w:val="13"/>
        <w:numPr>
          <w:ilvl w:val="0"/>
          <w:numId w:val="8"/>
        </w:numPr>
        <w:spacing w:line="460" w:lineRule="exact"/>
        <w:rPr>
          <w:rFonts w:ascii="宋体" w:hAnsi="宋体"/>
          <w:color w:val="000000"/>
          <w:sz w:val="24"/>
        </w:rPr>
      </w:pPr>
      <w:r>
        <w:rPr>
          <w:rFonts w:hint="eastAsia" w:ascii="宋体" w:hAnsi="宋体"/>
          <w:color w:val="000000"/>
          <w:sz w:val="24"/>
        </w:rPr>
        <w:t>监督承建单位按照计划开展系统需求分析活动。</w:t>
      </w:r>
    </w:p>
    <w:p>
      <w:pPr>
        <w:pStyle w:val="13"/>
        <w:numPr>
          <w:ilvl w:val="0"/>
          <w:numId w:val="8"/>
        </w:numPr>
        <w:spacing w:line="460" w:lineRule="exact"/>
        <w:rPr>
          <w:rFonts w:ascii="宋体" w:hAnsi="宋体"/>
          <w:color w:val="000000"/>
          <w:sz w:val="24"/>
        </w:rPr>
      </w:pPr>
      <w:r>
        <w:rPr>
          <w:rFonts w:hint="eastAsia" w:ascii="宋体" w:hAnsi="宋体"/>
          <w:color w:val="000000"/>
          <w:sz w:val="24"/>
        </w:rPr>
        <w:t>协助建设单位及承建单位定义并分析系统建设目标，包括定义并分析业务流程再造、业务持续改进、信息资源规划及业务指标评价体系。</w:t>
      </w:r>
    </w:p>
    <w:p>
      <w:pPr>
        <w:pStyle w:val="13"/>
        <w:numPr>
          <w:ilvl w:val="0"/>
          <w:numId w:val="8"/>
        </w:numPr>
        <w:spacing w:line="460" w:lineRule="exact"/>
        <w:rPr>
          <w:rFonts w:ascii="宋体" w:hAnsi="宋体"/>
          <w:color w:val="000000"/>
          <w:sz w:val="24"/>
        </w:rPr>
      </w:pPr>
      <w:r>
        <w:rPr>
          <w:rFonts w:hint="eastAsia" w:ascii="宋体" w:hAnsi="宋体"/>
          <w:color w:val="000000"/>
          <w:sz w:val="24"/>
        </w:rPr>
        <w:t>对系统需求规格说明书编制及其变更的监理参照文档管理监理和配置管理监理过程。</w:t>
      </w:r>
    </w:p>
    <w:p>
      <w:pPr>
        <w:pStyle w:val="13"/>
        <w:numPr>
          <w:ilvl w:val="0"/>
          <w:numId w:val="8"/>
        </w:numPr>
        <w:spacing w:line="460" w:lineRule="exact"/>
        <w:rPr>
          <w:rFonts w:ascii="宋体" w:hAnsi="宋体"/>
          <w:color w:val="000000"/>
          <w:sz w:val="24"/>
        </w:rPr>
      </w:pPr>
      <w:r>
        <w:rPr>
          <w:rFonts w:hint="eastAsia" w:ascii="宋体" w:hAnsi="宋体"/>
          <w:color w:val="000000"/>
          <w:sz w:val="24"/>
        </w:rPr>
        <w:t>协助建设单位通过评审、确认、联合评审等方式评价系统需求。</w:t>
      </w:r>
    </w:p>
    <w:p>
      <w:pPr>
        <w:pStyle w:val="13"/>
        <w:numPr>
          <w:ilvl w:val="0"/>
          <w:numId w:val="8"/>
        </w:numPr>
        <w:spacing w:line="460" w:lineRule="exact"/>
        <w:rPr>
          <w:rFonts w:ascii="宋体" w:hAnsi="宋体"/>
          <w:color w:val="000000"/>
          <w:sz w:val="24"/>
        </w:rPr>
      </w:pPr>
      <w:r>
        <w:rPr>
          <w:rFonts w:hint="eastAsia" w:ascii="宋体" w:hAnsi="宋体"/>
          <w:color w:val="000000"/>
          <w:sz w:val="24"/>
        </w:rPr>
        <w:t>监督承建单位解决系统需求分析中发现的问题和不合格项，并形成监理意见、提交建设单位。</w:t>
      </w:r>
    </w:p>
    <w:p>
      <w:pPr>
        <w:pStyle w:val="13"/>
        <w:spacing w:line="460" w:lineRule="exact"/>
        <w:ind w:left="480"/>
        <w:rPr>
          <w:rFonts w:ascii="宋体" w:hAnsi="宋体"/>
          <w:color w:val="000000"/>
          <w:sz w:val="24"/>
        </w:rPr>
      </w:pPr>
      <w:r>
        <w:rPr>
          <w:rFonts w:hint="eastAsia" w:hAnsi="宋体"/>
          <w:color w:val="000000"/>
          <w:sz w:val="24"/>
        </w:rPr>
        <w:t>2．设计阶段的监理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监理方应监督承建单位使用合理、先进的方法和工具去实施一系列软件设计工程任务，以便建立和维护软件的设计阶段产品。</w:t>
      </w:r>
    </w:p>
    <w:p>
      <w:pPr>
        <w:pStyle w:val="13"/>
        <w:numPr>
          <w:ilvl w:val="0"/>
          <w:numId w:val="9"/>
        </w:numPr>
        <w:spacing w:line="460" w:lineRule="exact"/>
        <w:rPr>
          <w:rFonts w:ascii="宋体" w:hAnsi="宋体"/>
          <w:color w:val="000000"/>
          <w:sz w:val="24"/>
        </w:rPr>
      </w:pPr>
      <w:r>
        <w:rPr>
          <w:rFonts w:hint="eastAsia" w:ascii="宋体" w:hAnsi="宋体"/>
          <w:color w:val="000000"/>
          <w:sz w:val="24"/>
        </w:rPr>
        <w:t>协助建设单位审查承建单位的项目计划，确保项目计划的合理性、可行性，并满足服务合同要求。</w:t>
      </w:r>
    </w:p>
    <w:p>
      <w:pPr>
        <w:pStyle w:val="13"/>
        <w:numPr>
          <w:ilvl w:val="0"/>
          <w:numId w:val="9"/>
        </w:numPr>
        <w:spacing w:line="460" w:lineRule="exact"/>
        <w:rPr>
          <w:rFonts w:ascii="宋体" w:hAnsi="宋体"/>
          <w:color w:val="000000"/>
          <w:sz w:val="24"/>
        </w:rPr>
      </w:pPr>
      <w:r>
        <w:rPr>
          <w:rFonts w:hint="eastAsia" w:ascii="宋体" w:hAnsi="宋体"/>
          <w:color w:val="000000"/>
          <w:sz w:val="24"/>
        </w:rPr>
        <w:t>协助建设单位评审承建单位的项目的总体设计方案、概要设计、详细设计、数据库设计等主要设计文档，促使总体设计方案满足项目的系统需求和有关的法规、标准，并符合服务合同要求，确保需求合理、有效、完整、准确。</w:t>
      </w:r>
    </w:p>
    <w:p>
      <w:pPr>
        <w:pStyle w:val="13"/>
        <w:numPr>
          <w:ilvl w:val="0"/>
          <w:numId w:val="9"/>
        </w:numPr>
        <w:spacing w:line="460" w:lineRule="exact"/>
        <w:rPr>
          <w:rFonts w:hAnsi="宋体"/>
          <w:color w:val="000000"/>
          <w:sz w:val="24"/>
        </w:rPr>
      </w:pPr>
      <w:r>
        <w:rPr>
          <w:rFonts w:hint="eastAsia" w:ascii="宋体" w:hAnsi="宋体"/>
          <w:color w:val="000000"/>
          <w:sz w:val="24"/>
        </w:rPr>
        <w:t>检查系统结构设计书包，并形成监理意见、提交建设单位。</w:t>
      </w:r>
    </w:p>
    <w:p>
      <w:pPr>
        <w:pStyle w:val="13"/>
        <w:spacing w:line="460" w:lineRule="exact"/>
        <w:ind w:left="480"/>
        <w:rPr>
          <w:rFonts w:hAnsi="宋体"/>
          <w:color w:val="000000"/>
          <w:sz w:val="24"/>
        </w:rPr>
      </w:pPr>
      <w:r>
        <w:rPr>
          <w:rFonts w:hint="eastAsia" w:hAnsi="宋体"/>
          <w:color w:val="000000"/>
          <w:sz w:val="24"/>
        </w:rPr>
        <w:t>3．准备阶段的监理</w:t>
      </w:r>
    </w:p>
    <w:p>
      <w:pPr>
        <w:pStyle w:val="13"/>
        <w:numPr>
          <w:ilvl w:val="1"/>
          <w:numId w:val="10"/>
        </w:numPr>
        <w:spacing w:line="460" w:lineRule="exact"/>
        <w:rPr>
          <w:rFonts w:ascii="宋体" w:hAnsi="宋体"/>
          <w:color w:val="000000"/>
          <w:sz w:val="24"/>
        </w:rPr>
      </w:pPr>
      <w:r>
        <w:rPr>
          <w:rFonts w:hint="eastAsia" w:ascii="宋体" w:hAnsi="宋体"/>
          <w:color w:val="000000"/>
          <w:sz w:val="24"/>
        </w:rPr>
        <w:t>审核承建单位制定的《项目开发实施计划》；</w:t>
      </w:r>
    </w:p>
    <w:p>
      <w:pPr>
        <w:pStyle w:val="13"/>
        <w:numPr>
          <w:ilvl w:val="1"/>
          <w:numId w:val="10"/>
        </w:numPr>
        <w:spacing w:line="460" w:lineRule="exact"/>
        <w:rPr>
          <w:rFonts w:ascii="宋体" w:hAnsi="宋体"/>
          <w:color w:val="000000"/>
          <w:sz w:val="24"/>
        </w:rPr>
      </w:pPr>
      <w:r>
        <w:rPr>
          <w:rFonts w:hint="eastAsia" w:ascii="宋体" w:hAnsi="宋体"/>
          <w:color w:val="000000"/>
          <w:sz w:val="24"/>
        </w:rPr>
        <w:t>编制监理规划和监理实施细则；</w:t>
      </w:r>
    </w:p>
    <w:p>
      <w:pPr>
        <w:pStyle w:val="13"/>
        <w:numPr>
          <w:ilvl w:val="1"/>
          <w:numId w:val="10"/>
        </w:numPr>
        <w:spacing w:line="460" w:lineRule="exact"/>
        <w:rPr>
          <w:rFonts w:ascii="宋体" w:hAnsi="宋体"/>
          <w:color w:val="000000"/>
          <w:sz w:val="24"/>
        </w:rPr>
      </w:pPr>
      <w:r>
        <w:rPr>
          <w:rFonts w:hint="eastAsia" w:ascii="宋体" w:hAnsi="宋体"/>
          <w:color w:val="000000"/>
          <w:sz w:val="24"/>
        </w:rPr>
        <w:t>确定项目各方的组织结构、人员分工与职责，同时明确项目各项控制、管理和协调的机制；</w:t>
      </w:r>
    </w:p>
    <w:p>
      <w:pPr>
        <w:pStyle w:val="13"/>
        <w:numPr>
          <w:ilvl w:val="1"/>
          <w:numId w:val="10"/>
        </w:numPr>
        <w:spacing w:line="460" w:lineRule="exact"/>
        <w:rPr>
          <w:rFonts w:ascii="宋体" w:hAnsi="宋体"/>
          <w:color w:val="000000"/>
          <w:sz w:val="24"/>
        </w:rPr>
      </w:pPr>
      <w:r>
        <w:rPr>
          <w:rFonts w:hint="eastAsia" w:ascii="宋体" w:hAnsi="宋体"/>
          <w:color w:val="000000"/>
          <w:sz w:val="24"/>
        </w:rPr>
        <w:t>协助建设单位进行项目前期工作的准备，包括现场工作环境和调研的准备。</w:t>
      </w:r>
    </w:p>
    <w:p>
      <w:pPr>
        <w:pStyle w:val="13"/>
        <w:numPr>
          <w:ilvl w:val="1"/>
          <w:numId w:val="10"/>
        </w:numPr>
        <w:spacing w:line="460" w:lineRule="exact"/>
        <w:rPr>
          <w:rFonts w:ascii="宋体" w:hAnsi="宋体"/>
          <w:color w:val="000000"/>
          <w:sz w:val="24"/>
        </w:rPr>
      </w:pPr>
      <w:r>
        <w:rPr>
          <w:rFonts w:hint="eastAsia" w:ascii="宋体" w:hAnsi="宋体"/>
          <w:color w:val="000000"/>
          <w:sz w:val="24"/>
        </w:rPr>
        <w:t>督促建设单位和承建单位适时对项目计划及有关附属计划进行评审，并及时取得各方对项目计划的书面批准和承诺。</w:t>
      </w:r>
    </w:p>
    <w:p>
      <w:pPr>
        <w:pStyle w:val="13"/>
        <w:spacing w:line="460" w:lineRule="exact"/>
        <w:rPr>
          <w:rFonts w:ascii="宋体" w:hAnsi="宋体"/>
          <w:color w:val="000000"/>
          <w:sz w:val="24"/>
        </w:rPr>
      </w:pPr>
      <w:r>
        <w:rPr>
          <w:rFonts w:hint="eastAsia" w:hAnsi="宋体"/>
          <w:color w:val="000000"/>
          <w:sz w:val="24"/>
        </w:rPr>
        <w:t>4.实施阶段的监理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本阶段主要进行设备安装、软件编码、单元测试、集成测试等工作内容。监理方须控制设备安装、软件编码及项目测试的工程进度，监督设备安装、软件编码及单元测试的质量，使得项目实施阶段的工作能可靠、高效的实现设计的目标，同时符合施工过程规范的要求。此阶段监理的主要任务包括：</w:t>
      </w:r>
    </w:p>
    <w:p>
      <w:pPr>
        <w:pStyle w:val="13"/>
        <w:numPr>
          <w:ilvl w:val="1"/>
          <w:numId w:val="11"/>
        </w:numPr>
        <w:spacing w:line="460" w:lineRule="exact"/>
        <w:rPr>
          <w:rFonts w:ascii="宋体" w:hAnsi="宋体"/>
          <w:color w:val="000000"/>
          <w:sz w:val="24"/>
        </w:rPr>
      </w:pPr>
      <w:r>
        <w:rPr>
          <w:rFonts w:hint="eastAsia" w:ascii="宋体" w:hAnsi="宋体"/>
          <w:color w:val="000000"/>
          <w:sz w:val="24"/>
        </w:rPr>
        <w:t>督促承建单位制订设备安装、软件编码、接入、集成测试的实施计划，确保测试方法完整、有效。</w:t>
      </w:r>
    </w:p>
    <w:p>
      <w:pPr>
        <w:pStyle w:val="13"/>
        <w:numPr>
          <w:ilvl w:val="1"/>
          <w:numId w:val="11"/>
        </w:numPr>
        <w:spacing w:line="460" w:lineRule="exact"/>
        <w:rPr>
          <w:rFonts w:ascii="宋体" w:hAnsi="宋体"/>
          <w:color w:val="000000"/>
          <w:sz w:val="24"/>
        </w:rPr>
      </w:pPr>
      <w:r>
        <w:rPr>
          <w:rFonts w:hint="eastAsia" w:ascii="宋体" w:hAnsi="宋体"/>
          <w:color w:val="000000"/>
          <w:sz w:val="24"/>
        </w:rPr>
        <w:t>监督承建单位按照计划的要求开展设备安装、软件编码活动。</w:t>
      </w:r>
    </w:p>
    <w:p>
      <w:pPr>
        <w:pStyle w:val="13"/>
        <w:numPr>
          <w:ilvl w:val="1"/>
          <w:numId w:val="11"/>
        </w:numPr>
        <w:spacing w:line="460" w:lineRule="exact"/>
        <w:rPr>
          <w:rFonts w:ascii="宋体" w:hAnsi="宋体"/>
          <w:color w:val="000000"/>
          <w:sz w:val="24"/>
        </w:rPr>
      </w:pPr>
      <w:r>
        <w:rPr>
          <w:rFonts w:hint="eastAsia" w:ascii="宋体" w:hAnsi="宋体"/>
          <w:color w:val="000000"/>
          <w:sz w:val="24"/>
        </w:rPr>
        <w:t>监督承建单位按照测试需求和进度安排进行测试。</w:t>
      </w:r>
    </w:p>
    <w:p>
      <w:pPr>
        <w:pStyle w:val="13"/>
        <w:numPr>
          <w:ilvl w:val="1"/>
          <w:numId w:val="11"/>
        </w:numPr>
        <w:spacing w:line="460" w:lineRule="exact"/>
        <w:rPr>
          <w:rFonts w:ascii="宋体" w:hAnsi="宋体"/>
          <w:color w:val="000000"/>
          <w:sz w:val="24"/>
        </w:rPr>
      </w:pPr>
      <w:r>
        <w:rPr>
          <w:rFonts w:hint="eastAsia" w:ascii="宋体" w:hAnsi="宋体"/>
          <w:color w:val="000000"/>
          <w:sz w:val="24"/>
        </w:rPr>
        <w:t>验证软件功能、性能、文档等与设计文档的一致性。</w:t>
      </w:r>
    </w:p>
    <w:p>
      <w:pPr>
        <w:pStyle w:val="13"/>
        <w:spacing w:line="460" w:lineRule="exact"/>
        <w:rPr>
          <w:rFonts w:ascii="宋体" w:hAnsi="宋体"/>
          <w:color w:val="000000"/>
          <w:sz w:val="24"/>
        </w:rPr>
      </w:pPr>
      <w:r>
        <w:rPr>
          <w:rFonts w:hint="eastAsia" w:hAnsi="宋体"/>
          <w:color w:val="000000"/>
          <w:sz w:val="24"/>
        </w:rPr>
        <w:t>5．初验阶段的监理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本阶段监理方须检查合同履行情况、系统建设期间产生的文件和技术文档是否完善，是否达到初步验收的要求。如果达到初步验收要求，审核初步验收测试方案，并细化成验收实施方案，报建设单位批准。监理方参与验收，听取各方的工作报告，审阅工程档案资料并实地查验信息系统运行情况，并对信息系统设计、实施和设备质量等方面做出全面的评价和测试。</w:t>
      </w:r>
    </w:p>
    <w:p>
      <w:pPr>
        <w:pStyle w:val="13"/>
        <w:spacing w:line="460" w:lineRule="exact"/>
        <w:ind w:firstLine="435" w:firstLineChars="200"/>
        <w:rPr>
          <w:rFonts w:ascii="宋体" w:hAnsi="宋体"/>
          <w:color w:val="000000"/>
          <w:sz w:val="24"/>
        </w:rPr>
      </w:pPr>
      <w:r>
        <w:rPr>
          <w:rFonts w:hint="eastAsia" w:ascii="宋体" w:hAnsi="宋体"/>
          <w:color w:val="000000"/>
          <w:sz w:val="24"/>
        </w:rPr>
        <w:t>（1）系统初验的监理必须做到：</w:t>
      </w:r>
    </w:p>
    <w:p>
      <w:pPr>
        <w:pStyle w:val="13"/>
        <w:spacing w:line="460" w:lineRule="exact"/>
        <w:ind w:firstLine="435" w:firstLineChars="200"/>
        <w:rPr>
          <w:rFonts w:ascii="宋体" w:hAnsi="宋体"/>
          <w:color w:val="000000"/>
          <w:sz w:val="24"/>
        </w:rPr>
      </w:pPr>
      <w:r>
        <w:rPr>
          <w:rFonts w:hint="eastAsia" w:ascii="宋体" w:hAnsi="宋体"/>
          <w:color w:val="000000"/>
          <w:sz w:val="24"/>
        </w:rPr>
        <w:t>A.监理方需对承建单位的初验申请进行审查。初验条件应符合合同规定的初验条件，还应包括如下内容：</w:t>
      </w:r>
    </w:p>
    <w:p>
      <w:pPr>
        <w:pStyle w:val="13"/>
        <w:spacing w:line="460" w:lineRule="exact"/>
        <w:ind w:firstLine="435" w:firstLineChars="200"/>
        <w:rPr>
          <w:rFonts w:ascii="宋体" w:hAnsi="宋体"/>
          <w:color w:val="000000"/>
          <w:sz w:val="24"/>
        </w:rPr>
      </w:pPr>
      <w:r>
        <w:rPr>
          <w:rFonts w:hint="eastAsia" w:ascii="宋体" w:hAnsi="宋体"/>
          <w:color w:val="000000"/>
          <w:sz w:val="24"/>
        </w:rPr>
        <w:t>a) 软件实施工作已经结束；</w:t>
      </w:r>
    </w:p>
    <w:p>
      <w:pPr>
        <w:pStyle w:val="13"/>
        <w:spacing w:line="460" w:lineRule="exact"/>
        <w:ind w:firstLine="435" w:firstLineChars="200"/>
        <w:rPr>
          <w:rFonts w:ascii="宋体" w:hAnsi="宋体"/>
          <w:color w:val="000000"/>
          <w:sz w:val="24"/>
        </w:rPr>
      </w:pPr>
      <w:r>
        <w:rPr>
          <w:rFonts w:hint="eastAsia" w:ascii="宋体" w:hAnsi="宋体"/>
          <w:color w:val="000000"/>
          <w:sz w:val="24"/>
        </w:rPr>
        <w:t>b) 合同规定的各类文档齐全；</w:t>
      </w:r>
    </w:p>
    <w:p>
      <w:pPr>
        <w:pStyle w:val="13"/>
        <w:spacing w:line="460" w:lineRule="exact"/>
        <w:ind w:firstLine="435" w:firstLineChars="200"/>
        <w:rPr>
          <w:rFonts w:ascii="宋体" w:hAnsi="宋体"/>
          <w:color w:val="000000"/>
          <w:sz w:val="24"/>
        </w:rPr>
      </w:pPr>
      <w:r>
        <w:rPr>
          <w:rFonts w:hint="eastAsia" w:ascii="宋体" w:hAnsi="宋体"/>
          <w:color w:val="000000"/>
          <w:sz w:val="24"/>
        </w:rPr>
        <w:t>c) 软件产品已置于配置管理之下；</w:t>
      </w:r>
    </w:p>
    <w:p>
      <w:pPr>
        <w:pStyle w:val="13"/>
        <w:spacing w:line="460" w:lineRule="exact"/>
        <w:ind w:firstLine="435" w:firstLineChars="200"/>
        <w:rPr>
          <w:rFonts w:ascii="宋体" w:hAnsi="宋体"/>
          <w:color w:val="000000"/>
          <w:sz w:val="24"/>
        </w:rPr>
      </w:pPr>
      <w:r>
        <w:rPr>
          <w:rFonts w:hint="eastAsia" w:ascii="宋体" w:hAnsi="宋体"/>
          <w:color w:val="000000"/>
          <w:sz w:val="24"/>
        </w:rPr>
        <w:t>B.监理方需审查承建单位提交的验收方案的符合性（验收目标、责任双方、验收提交清单、验收标准、验收方式、验收流程、验收环境等）及可行性。</w:t>
      </w:r>
    </w:p>
    <w:p>
      <w:pPr>
        <w:pStyle w:val="13"/>
        <w:spacing w:line="460" w:lineRule="exact"/>
        <w:ind w:firstLine="435" w:firstLineChars="200"/>
        <w:rPr>
          <w:rFonts w:ascii="宋体" w:hAnsi="宋体"/>
          <w:color w:val="000000"/>
          <w:sz w:val="24"/>
        </w:rPr>
      </w:pPr>
      <w:r>
        <w:rPr>
          <w:rFonts w:hint="eastAsia" w:ascii="宋体" w:hAnsi="宋体"/>
          <w:color w:val="000000"/>
          <w:sz w:val="24"/>
        </w:rPr>
        <w:t>C．监理方需对承建单位提交的文档进行审核，并形成文档。</w:t>
      </w:r>
    </w:p>
    <w:p>
      <w:pPr>
        <w:pStyle w:val="13"/>
        <w:spacing w:line="460" w:lineRule="exact"/>
        <w:rPr>
          <w:rFonts w:ascii="宋体" w:hAnsi="宋体"/>
          <w:color w:val="000000"/>
          <w:sz w:val="24"/>
        </w:rPr>
      </w:pPr>
      <w:r>
        <w:rPr>
          <w:rFonts w:hint="eastAsia" w:ascii="宋体" w:hAnsi="宋体"/>
          <w:color w:val="000000"/>
          <w:sz w:val="24"/>
        </w:rPr>
        <w:t>（2）监理方需协助建设单位通过测试软件产品在目标环境的选定区域中的适用性，以确认软件产品满足它的预期用途，评价时应参考业务指标评价体系并应考虑下列准则。评价结果应形成文档并提交建设单位。</w:t>
      </w:r>
    </w:p>
    <w:p>
      <w:pPr>
        <w:pStyle w:val="13"/>
        <w:spacing w:line="460" w:lineRule="exact"/>
        <w:ind w:firstLine="435" w:firstLineChars="200"/>
        <w:rPr>
          <w:rFonts w:ascii="宋体" w:hAnsi="宋体"/>
          <w:color w:val="000000"/>
          <w:sz w:val="24"/>
        </w:rPr>
      </w:pPr>
      <w:r>
        <w:rPr>
          <w:rFonts w:hint="eastAsia" w:ascii="宋体" w:hAnsi="宋体"/>
          <w:color w:val="000000"/>
          <w:sz w:val="24"/>
        </w:rPr>
        <w:t>A.与合同的一致性；</w:t>
      </w:r>
    </w:p>
    <w:p>
      <w:pPr>
        <w:pStyle w:val="13"/>
        <w:spacing w:line="460" w:lineRule="exact"/>
        <w:ind w:firstLine="435" w:firstLineChars="200"/>
        <w:rPr>
          <w:rFonts w:ascii="宋体" w:hAnsi="宋体"/>
          <w:color w:val="000000"/>
          <w:sz w:val="24"/>
        </w:rPr>
      </w:pPr>
      <w:r>
        <w:rPr>
          <w:rFonts w:hint="eastAsia" w:ascii="宋体" w:hAnsi="宋体"/>
          <w:color w:val="000000"/>
          <w:sz w:val="24"/>
        </w:rPr>
        <w:t>B.与系统需求的一致性；</w:t>
      </w:r>
    </w:p>
    <w:p>
      <w:pPr>
        <w:pStyle w:val="13"/>
        <w:spacing w:line="460" w:lineRule="exact"/>
        <w:ind w:firstLine="435" w:firstLineChars="200"/>
        <w:rPr>
          <w:rFonts w:ascii="宋体" w:hAnsi="宋体"/>
          <w:color w:val="000000"/>
          <w:sz w:val="24"/>
        </w:rPr>
      </w:pPr>
      <w:r>
        <w:rPr>
          <w:rFonts w:hint="eastAsia" w:ascii="宋体" w:hAnsi="宋体"/>
          <w:color w:val="000000"/>
          <w:sz w:val="24"/>
        </w:rPr>
        <w:t>C.与预期结果的符合程度，包括但不仅限于与信息资源规划、业务流程再造需求及业务持续改进需求和业务指标评价体系的符合程度；</w:t>
      </w:r>
    </w:p>
    <w:p>
      <w:pPr>
        <w:pStyle w:val="13"/>
        <w:spacing w:line="460" w:lineRule="exact"/>
        <w:ind w:firstLine="435" w:firstLineChars="200"/>
        <w:rPr>
          <w:rFonts w:ascii="宋体" w:hAnsi="宋体"/>
          <w:color w:val="000000"/>
          <w:sz w:val="24"/>
        </w:rPr>
      </w:pPr>
      <w:r>
        <w:rPr>
          <w:rFonts w:hint="eastAsia" w:ascii="宋体" w:hAnsi="宋体"/>
          <w:color w:val="000000"/>
          <w:sz w:val="24"/>
        </w:rPr>
        <w:t>D. 与业务需求的符合程度；</w:t>
      </w:r>
    </w:p>
    <w:p>
      <w:pPr>
        <w:pStyle w:val="13"/>
        <w:spacing w:line="460" w:lineRule="exact"/>
        <w:ind w:firstLine="435" w:firstLineChars="200"/>
        <w:rPr>
          <w:rFonts w:ascii="宋体" w:hAnsi="宋体"/>
          <w:color w:val="000000"/>
          <w:sz w:val="24"/>
        </w:rPr>
      </w:pPr>
      <w:r>
        <w:rPr>
          <w:rFonts w:hint="eastAsia" w:ascii="宋体" w:hAnsi="宋体"/>
          <w:color w:val="000000"/>
          <w:sz w:val="24"/>
        </w:rPr>
        <w:t>E. 运作和维护的可行性。</w:t>
      </w:r>
    </w:p>
    <w:p>
      <w:pPr>
        <w:pStyle w:val="13"/>
        <w:spacing w:line="460" w:lineRule="exact"/>
        <w:ind w:firstLine="435" w:firstLineChars="200"/>
        <w:rPr>
          <w:rFonts w:ascii="宋体" w:hAnsi="宋体"/>
          <w:color w:val="000000"/>
          <w:sz w:val="24"/>
        </w:rPr>
      </w:pPr>
      <w:r>
        <w:rPr>
          <w:rFonts w:hint="eastAsia" w:ascii="宋体" w:hAnsi="宋体"/>
          <w:color w:val="000000"/>
          <w:sz w:val="24"/>
        </w:rPr>
        <w:t>F.监理方需监督承建单位解决系统初验中发现的问题和不合格项，并形成监理意见。</w:t>
      </w:r>
    </w:p>
    <w:p>
      <w:pPr>
        <w:pStyle w:val="13"/>
        <w:spacing w:line="460" w:lineRule="exact"/>
        <w:ind w:firstLine="435" w:firstLineChars="200"/>
        <w:rPr>
          <w:rFonts w:ascii="宋体" w:hAnsi="宋体"/>
          <w:color w:val="000000"/>
          <w:sz w:val="24"/>
        </w:rPr>
      </w:pPr>
      <w:r>
        <w:rPr>
          <w:rFonts w:hint="eastAsia" w:hAnsi="宋体"/>
          <w:color w:val="000000"/>
          <w:sz w:val="24"/>
        </w:rPr>
        <w:t>6．试运行阶段的监理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系统在开发和测试完成后首先需要经过一段时间的试运行。系统试运行实际是测试的延续，检查系统的稳定性、适用性等。监理方在这个阶段的主要工作有：</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督促承建单位制订详细的系统试运行计划。</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协助承建单位和建设单位按照计划实施试运行活动。</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监督承建单位配合建设单位在试运行过程中进行的用户测试，测试结果应形成文档。</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监督承建单位解决系统试运行中发现的问题和不合格项，形成监理意见，提交建设单位。</w:t>
      </w:r>
    </w:p>
    <w:p>
      <w:pPr>
        <w:pStyle w:val="13"/>
        <w:numPr>
          <w:ilvl w:val="0"/>
          <w:numId w:val="12"/>
        </w:numPr>
        <w:spacing w:line="460" w:lineRule="exact"/>
        <w:ind w:left="0" w:firstLine="420"/>
        <w:rPr>
          <w:rFonts w:ascii="宋体" w:hAnsi="宋体"/>
          <w:color w:val="000000"/>
          <w:sz w:val="24"/>
        </w:rPr>
      </w:pPr>
      <w:r>
        <w:rPr>
          <w:rFonts w:hint="eastAsia" w:ascii="宋体" w:hAnsi="宋体"/>
          <w:color w:val="000000"/>
          <w:sz w:val="24"/>
        </w:rPr>
        <w:t>对于一些重复出现的问题，督促承建单位及时解决。</w:t>
      </w:r>
    </w:p>
    <w:p>
      <w:pPr>
        <w:pStyle w:val="13"/>
        <w:spacing w:line="460" w:lineRule="exact"/>
        <w:ind w:firstLine="435" w:firstLineChars="200"/>
        <w:rPr>
          <w:rFonts w:ascii="宋体" w:hAnsi="宋体"/>
          <w:color w:val="000000"/>
          <w:sz w:val="24"/>
        </w:rPr>
      </w:pPr>
      <w:r>
        <w:rPr>
          <w:rFonts w:hint="eastAsia" w:hAnsi="宋体"/>
          <w:color w:val="000000"/>
          <w:sz w:val="24"/>
        </w:rPr>
        <w:t>7．终验阶段的监理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验收由建设单位、监理单位和承建单位三方共同成立项目测试组，对项目建设内容和项目建设质量进行评估，项目验收由专家组负责。</w:t>
      </w:r>
    </w:p>
    <w:p>
      <w:pPr>
        <w:pStyle w:val="13"/>
        <w:spacing w:line="460" w:lineRule="exact"/>
        <w:ind w:firstLine="435" w:firstLineChars="200"/>
        <w:rPr>
          <w:rFonts w:ascii="宋体" w:hAnsi="宋体"/>
          <w:color w:val="000000"/>
          <w:sz w:val="24"/>
        </w:rPr>
      </w:pPr>
      <w:r>
        <w:rPr>
          <w:rFonts w:hint="eastAsia" w:ascii="宋体" w:hAnsi="宋体"/>
          <w:color w:val="000000"/>
          <w:sz w:val="24"/>
        </w:rPr>
        <w:t>验收项目包括按照招标文件、承建单位投标文件和项目建设合同中所标明的建设内容，及相关的技术文档、培训教材、国家、地方和行业相关标准规范等。</w:t>
      </w:r>
    </w:p>
    <w:p>
      <w:pPr>
        <w:pStyle w:val="13"/>
        <w:spacing w:line="460" w:lineRule="exact"/>
        <w:ind w:firstLine="435" w:firstLineChars="200"/>
        <w:rPr>
          <w:rFonts w:ascii="宋体" w:hAnsi="宋体"/>
          <w:color w:val="000000"/>
          <w:sz w:val="24"/>
        </w:rPr>
      </w:pPr>
      <w:r>
        <w:rPr>
          <w:rFonts w:hint="eastAsia" w:ascii="宋体" w:hAnsi="宋体"/>
          <w:color w:val="000000"/>
          <w:sz w:val="24"/>
        </w:rPr>
        <w:t xml:space="preserve">在项目验收时，监理应遵循下列标准： </w:t>
      </w:r>
    </w:p>
    <w:p>
      <w:pPr>
        <w:pStyle w:val="13"/>
        <w:numPr>
          <w:ilvl w:val="1"/>
          <w:numId w:val="9"/>
        </w:numPr>
        <w:spacing w:line="460" w:lineRule="exact"/>
        <w:ind w:left="0" w:firstLine="567"/>
        <w:rPr>
          <w:rFonts w:ascii="宋体" w:hAnsi="宋体"/>
          <w:color w:val="000000"/>
          <w:sz w:val="24"/>
        </w:rPr>
      </w:pPr>
      <w:r>
        <w:rPr>
          <w:rFonts w:hint="eastAsia" w:ascii="宋体" w:hAnsi="宋体"/>
          <w:color w:val="000000"/>
          <w:sz w:val="24"/>
        </w:rPr>
        <w:t>满足项目招标文件、承建单位投标文件和项目建设合同中列举的全部要求；</w:t>
      </w:r>
    </w:p>
    <w:p>
      <w:pPr>
        <w:pStyle w:val="13"/>
        <w:numPr>
          <w:ilvl w:val="1"/>
          <w:numId w:val="9"/>
        </w:numPr>
        <w:spacing w:line="460" w:lineRule="exact"/>
        <w:ind w:left="0" w:firstLine="567"/>
        <w:rPr>
          <w:rFonts w:ascii="宋体" w:hAnsi="宋体"/>
          <w:color w:val="000000"/>
          <w:sz w:val="24"/>
        </w:rPr>
      </w:pPr>
      <w:r>
        <w:rPr>
          <w:rFonts w:hint="eastAsia" w:ascii="宋体" w:hAnsi="宋体"/>
          <w:color w:val="000000"/>
          <w:sz w:val="24"/>
        </w:rPr>
        <w:t>实现项目招标文件、承建单位投标文件和项目建设合同中列举的全部功能；</w:t>
      </w:r>
    </w:p>
    <w:p>
      <w:pPr>
        <w:pStyle w:val="13"/>
        <w:numPr>
          <w:ilvl w:val="1"/>
          <w:numId w:val="9"/>
        </w:numPr>
        <w:spacing w:line="460" w:lineRule="exact"/>
        <w:ind w:left="0" w:firstLine="567"/>
        <w:rPr>
          <w:rFonts w:ascii="宋体" w:hAnsi="宋体"/>
          <w:color w:val="000000"/>
          <w:sz w:val="24"/>
        </w:rPr>
      </w:pPr>
      <w:r>
        <w:rPr>
          <w:rFonts w:hint="eastAsia" w:ascii="宋体" w:hAnsi="宋体"/>
          <w:color w:val="000000"/>
          <w:sz w:val="24"/>
        </w:rPr>
        <w:t xml:space="preserve">达到项目招标文件、承建单位投标文件和项目建设合同中列举的全部指标。 </w:t>
      </w:r>
    </w:p>
    <w:p>
      <w:pPr>
        <w:pStyle w:val="13"/>
        <w:spacing w:line="460" w:lineRule="exact"/>
        <w:ind w:firstLine="435" w:firstLineChars="200"/>
        <w:rPr>
          <w:rFonts w:ascii="宋体" w:hAnsi="宋体"/>
          <w:color w:val="000000"/>
          <w:sz w:val="24"/>
        </w:rPr>
      </w:pPr>
      <w:r>
        <w:rPr>
          <w:rFonts w:hint="eastAsia" w:ascii="宋体" w:hAnsi="宋体"/>
          <w:color w:val="000000"/>
          <w:sz w:val="24"/>
        </w:rPr>
        <w:t>具体的验收工作包括以下：</w:t>
      </w:r>
    </w:p>
    <w:p>
      <w:pPr>
        <w:pStyle w:val="13"/>
        <w:spacing w:line="460" w:lineRule="exact"/>
        <w:ind w:firstLine="435" w:firstLineChars="200"/>
        <w:rPr>
          <w:rFonts w:ascii="宋体" w:hAnsi="宋体"/>
          <w:color w:val="000000"/>
          <w:sz w:val="24"/>
        </w:rPr>
      </w:pPr>
      <w:r>
        <w:rPr>
          <w:rFonts w:hint="eastAsia" w:ascii="宋体" w:hAnsi="宋体"/>
          <w:color w:val="000000"/>
          <w:sz w:val="24"/>
        </w:rPr>
        <w:t>（1）监理方需要求承建单位按合同中的规定提供评价、评审、审核、测试和解决问题的报告，并审核是否达到合同规定的验收条件，验收条件还应包括如下内容：</w:t>
      </w:r>
    </w:p>
    <w:p>
      <w:pPr>
        <w:pStyle w:val="13"/>
        <w:spacing w:line="460" w:lineRule="exact"/>
        <w:ind w:firstLine="435" w:firstLineChars="200"/>
        <w:rPr>
          <w:rFonts w:ascii="宋体" w:hAnsi="宋体"/>
          <w:color w:val="000000"/>
          <w:sz w:val="24"/>
        </w:rPr>
      </w:pPr>
      <w:r>
        <w:rPr>
          <w:rFonts w:hint="eastAsia" w:ascii="宋体" w:hAnsi="宋体"/>
          <w:color w:val="000000"/>
          <w:sz w:val="24"/>
        </w:rPr>
        <w:t>A.满足初验的条件；</w:t>
      </w:r>
    </w:p>
    <w:p>
      <w:pPr>
        <w:pStyle w:val="13"/>
        <w:spacing w:line="460" w:lineRule="exact"/>
        <w:ind w:firstLine="435" w:firstLineChars="200"/>
        <w:rPr>
          <w:rFonts w:ascii="宋体" w:hAnsi="宋体"/>
          <w:color w:val="000000"/>
          <w:sz w:val="24"/>
        </w:rPr>
      </w:pPr>
      <w:r>
        <w:rPr>
          <w:rFonts w:hint="eastAsia" w:ascii="宋体" w:hAnsi="宋体"/>
          <w:color w:val="000000"/>
          <w:sz w:val="24"/>
        </w:rPr>
        <w:t>B. 初验合格；</w:t>
      </w:r>
    </w:p>
    <w:p>
      <w:pPr>
        <w:pStyle w:val="13"/>
        <w:spacing w:line="460" w:lineRule="exact"/>
        <w:ind w:firstLine="435" w:firstLineChars="200"/>
        <w:rPr>
          <w:rFonts w:ascii="宋体" w:hAnsi="宋体"/>
          <w:color w:val="000000"/>
          <w:sz w:val="24"/>
        </w:rPr>
      </w:pPr>
      <w:r>
        <w:rPr>
          <w:rFonts w:hint="eastAsia" w:ascii="宋体" w:hAnsi="宋体"/>
          <w:color w:val="000000"/>
          <w:sz w:val="24"/>
        </w:rPr>
        <w:t>C. 试运行正常并且出现的问题已经得到解决；</w:t>
      </w:r>
    </w:p>
    <w:p>
      <w:pPr>
        <w:pStyle w:val="13"/>
        <w:spacing w:line="460" w:lineRule="exact"/>
        <w:ind w:firstLine="513" w:firstLineChars="236"/>
        <w:rPr>
          <w:rFonts w:ascii="宋体" w:hAnsi="宋体"/>
          <w:color w:val="000000"/>
          <w:sz w:val="24"/>
        </w:rPr>
      </w:pPr>
      <w:r>
        <w:rPr>
          <w:rFonts w:hint="eastAsia" w:ascii="宋体" w:hAnsi="宋体"/>
          <w:color w:val="000000"/>
          <w:sz w:val="24"/>
        </w:rPr>
        <w:t>（2）监理方需协助建设单位根据已确定的验收策略和准则准备验收，包括准备测试用例、测试数据、测试规程和测试环境。</w:t>
      </w:r>
    </w:p>
    <w:p>
      <w:pPr>
        <w:pStyle w:val="13"/>
        <w:spacing w:line="460" w:lineRule="exact"/>
        <w:ind w:firstLine="385" w:firstLineChars="177"/>
        <w:rPr>
          <w:rFonts w:ascii="宋体" w:hAnsi="宋体"/>
          <w:color w:val="000000"/>
          <w:sz w:val="24"/>
        </w:rPr>
      </w:pPr>
      <w:r>
        <w:rPr>
          <w:rFonts w:hint="eastAsia" w:ascii="宋体" w:hAnsi="宋体"/>
          <w:color w:val="000000"/>
          <w:sz w:val="24"/>
        </w:rPr>
        <w:t>（3）监理方需协助建设单位对可交付软件产品或服务进行验收评审和验收测试，并形成文档。</w:t>
      </w:r>
    </w:p>
    <w:p>
      <w:pPr>
        <w:pStyle w:val="13"/>
        <w:spacing w:line="460" w:lineRule="exact"/>
        <w:ind w:firstLine="435" w:firstLineChars="200"/>
        <w:rPr>
          <w:rFonts w:ascii="宋体" w:hAnsi="宋体"/>
          <w:color w:val="000000"/>
          <w:sz w:val="24"/>
        </w:rPr>
      </w:pPr>
      <w:r>
        <w:rPr>
          <w:rFonts w:hint="eastAsia" w:ascii="宋体" w:hAnsi="宋体"/>
          <w:color w:val="000000"/>
          <w:sz w:val="24"/>
        </w:rPr>
        <w:t>（4）监理方需协助建设单位验收系统，评价时应参考业务指标评价体系并应考虑下列准则。评价结果应形成监理意见，并提交建设单位。</w:t>
      </w:r>
    </w:p>
    <w:p>
      <w:pPr>
        <w:pStyle w:val="13"/>
        <w:spacing w:line="460" w:lineRule="exact"/>
        <w:ind w:firstLine="435" w:firstLineChars="200"/>
        <w:rPr>
          <w:rFonts w:ascii="宋体" w:hAnsi="宋体"/>
          <w:color w:val="000000"/>
          <w:sz w:val="24"/>
        </w:rPr>
      </w:pPr>
      <w:r>
        <w:rPr>
          <w:rFonts w:hint="eastAsia" w:ascii="宋体" w:hAnsi="宋体"/>
          <w:color w:val="000000"/>
          <w:sz w:val="24"/>
        </w:rPr>
        <w:t>A.与合同的一致性；</w:t>
      </w:r>
    </w:p>
    <w:p>
      <w:pPr>
        <w:pStyle w:val="13"/>
        <w:spacing w:line="460" w:lineRule="exact"/>
        <w:ind w:firstLine="435" w:firstLineChars="200"/>
        <w:rPr>
          <w:rFonts w:ascii="宋体" w:hAnsi="宋体"/>
          <w:color w:val="000000"/>
          <w:sz w:val="24"/>
        </w:rPr>
      </w:pPr>
      <w:r>
        <w:rPr>
          <w:rFonts w:hint="eastAsia" w:ascii="宋体" w:hAnsi="宋体"/>
          <w:color w:val="000000"/>
          <w:sz w:val="24"/>
        </w:rPr>
        <w:t>B. 与系统需求的一致性；</w:t>
      </w:r>
    </w:p>
    <w:p>
      <w:pPr>
        <w:pStyle w:val="13"/>
        <w:spacing w:line="460" w:lineRule="exact"/>
        <w:ind w:firstLine="435" w:firstLineChars="200"/>
        <w:rPr>
          <w:rFonts w:ascii="宋体" w:hAnsi="宋体"/>
          <w:color w:val="000000"/>
          <w:sz w:val="24"/>
        </w:rPr>
      </w:pPr>
      <w:r>
        <w:rPr>
          <w:rFonts w:hint="eastAsia" w:ascii="宋体" w:hAnsi="宋体"/>
          <w:color w:val="000000"/>
          <w:sz w:val="24"/>
        </w:rPr>
        <w:t>C. 与业务需求的符合程度；</w:t>
      </w:r>
    </w:p>
    <w:p>
      <w:pPr>
        <w:pStyle w:val="13"/>
        <w:spacing w:line="460" w:lineRule="exact"/>
        <w:ind w:firstLine="435" w:firstLineChars="200"/>
        <w:rPr>
          <w:rFonts w:ascii="宋体" w:hAnsi="宋体"/>
          <w:color w:val="000000"/>
          <w:sz w:val="24"/>
        </w:rPr>
      </w:pPr>
      <w:r>
        <w:rPr>
          <w:rFonts w:hint="eastAsia" w:ascii="宋体" w:hAnsi="宋体"/>
          <w:color w:val="000000"/>
          <w:sz w:val="24"/>
        </w:rPr>
        <w:t>D. 与预期结果的符合程度，包括但不仅限于与信息资源规划、业务流程再造需求及业务持续改进需求和业务指标评价体系的符合程度；</w:t>
      </w:r>
    </w:p>
    <w:p>
      <w:pPr>
        <w:pStyle w:val="13"/>
        <w:spacing w:line="460" w:lineRule="exact"/>
        <w:ind w:firstLine="435" w:firstLineChars="200"/>
        <w:rPr>
          <w:rFonts w:ascii="宋体" w:hAnsi="宋体"/>
          <w:color w:val="000000"/>
          <w:sz w:val="24"/>
        </w:rPr>
      </w:pPr>
      <w:r>
        <w:rPr>
          <w:rFonts w:hint="eastAsia" w:ascii="宋体" w:hAnsi="宋体"/>
          <w:color w:val="000000"/>
          <w:sz w:val="24"/>
        </w:rPr>
        <w:t>（5）监理方需监督承建单位解决系统终验中发现的问题和不合格项，并形成监理意见。</w:t>
      </w:r>
    </w:p>
    <w:p>
      <w:pPr>
        <w:pStyle w:val="13"/>
        <w:spacing w:line="460" w:lineRule="exact"/>
        <w:ind w:firstLine="435" w:firstLineChars="200"/>
        <w:rPr>
          <w:rFonts w:ascii="宋体" w:hAnsi="宋体"/>
          <w:color w:val="000000"/>
          <w:sz w:val="24"/>
        </w:rPr>
      </w:pPr>
      <w:r>
        <w:rPr>
          <w:rFonts w:hint="eastAsia" w:ascii="宋体" w:hAnsi="宋体"/>
          <w:color w:val="000000"/>
          <w:sz w:val="24"/>
        </w:rPr>
        <w:t>（6）监理方要求承建单位按合同中的规定提供评价、评审、审核、测试和解决问题的报告，并审核是否达到合同规定的验收条件，验收条件还应包括对照建设项目的标书和合同，审核测试验收方案的符合性及可行性。</w:t>
      </w:r>
    </w:p>
    <w:p>
      <w:pPr>
        <w:pStyle w:val="13"/>
        <w:spacing w:line="460" w:lineRule="exact"/>
        <w:ind w:firstLine="435" w:firstLineChars="200"/>
        <w:rPr>
          <w:rFonts w:ascii="宋体" w:hAnsi="宋体"/>
          <w:color w:val="000000"/>
          <w:sz w:val="24"/>
        </w:rPr>
      </w:pPr>
      <w:r>
        <w:rPr>
          <w:rFonts w:hint="eastAsia" w:ascii="宋体" w:hAnsi="宋体"/>
          <w:color w:val="000000"/>
          <w:sz w:val="24"/>
        </w:rPr>
        <w:t>（7）依照建设合同、标书、法律、法规和标准的要求，审核系统的测试报告，确认系统最终功能和性能是否达到了验收的要求。</w:t>
      </w:r>
    </w:p>
    <w:p>
      <w:pPr>
        <w:pStyle w:val="13"/>
        <w:spacing w:line="460" w:lineRule="exact"/>
        <w:ind w:firstLine="435" w:firstLineChars="200"/>
        <w:rPr>
          <w:rFonts w:ascii="宋体" w:hAnsi="宋体"/>
          <w:color w:val="000000"/>
          <w:sz w:val="24"/>
        </w:rPr>
      </w:pPr>
      <w:r>
        <w:rPr>
          <w:rFonts w:hint="eastAsia" w:ascii="宋体" w:hAnsi="宋体"/>
          <w:color w:val="000000"/>
          <w:sz w:val="24"/>
        </w:rPr>
        <w:t>（8）检查承建单位所提交的项目各阶段形成的技术、管理文档的内容和种类是否符合相关标准，是否规范化。</w:t>
      </w:r>
    </w:p>
    <w:p>
      <w:pPr>
        <w:pStyle w:val="13"/>
        <w:spacing w:line="460" w:lineRule="exact"/>
        <w:ind w:firstLine="435" w:firstLineChars="200"/>
        <w:rPr>
          <w:rFonts w:ascii="宋体" w:hAnsi="宋体"/>
          <w:color w:val="000000"/>
          <w:sz w:val="24"/>
        </w:rPr>
      </w:pPr>
      <w:r>
        <w:rPr>
          <w:rFonts w:hint="eastAsia" w:ascii="宋体" w:hAnsi="宋体"/>
          <w:color w:val="000000"/>
          <w:sz w:val="24"/>
        </w:rPr>
        <w:t>（9）针对系统信息化工程的特殊需求，审查培训计划和评估培训效果是否达到合同要求。</w:t>
      </w:r>
    </w:p>
    <w:p>
      <w:pPr>
        <w:pStyle w:val="13"/>
        <w:spacing w:line="460" w:lineRule="exact"/>
        <w:ind w:firstLine="435" w:firstLineChars="200"/>
        <w:rPr>
          <w:rFonts w:ascii="宋体" w:hAnsi="宋体"/>
          <w:color w:val="000000"/>
          <w:sz w:val="24"/>
        </w:rPr>
      </w:pPr>
      <w:r>
        <w:rPr>
          <w:rFonts w:hint="eastAsia" w:hAnsi="宋体"/>
          <w:color w:val="000000"/>
          <w:sz w:val="24"/>
        </w:rPr>
        <w:t>8.项目移交阶段的监理</w:t>
      </w:r>
    </w:p>
    <w:p>
      <w:pPr>
        <w:pStyle w:val="13"/>
        <w:spacing w:line="460" w:lineRule="exact"/>
        <w:ind w:firstLine="435" w:firstLineChars="200"/>
        <w:rPr>
          <w:rFonts w:ascii="宋体" w:hAnsi="宋体"/>
          <w:color w:val="000000"/>
          <w:sz w:val="24"/>
        </w:rPr>
      </w:pPr>
      <w:r>
        <w:rPr>
          <w:rFonts w:hint="eastAsia" w:ascii="宋体" w:hAnsi="宋体"/>
          <w:color w:val="000000"/>
          <w:sz w:val="24"/>
        </w:rPr>
        <w:t>系统验收通过便可进行系统移交，此阶段监理重点是确保文档及软件的完整、版本一致，监理方主要的工作和要求如下：</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督促承建单位提交交付文书，交付文书应包括设备交付清单、相关项目文档和必要的联系信息。</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依据合同中的有关条款协助建设单位进行项目决算及处理相关事宜。</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对于中途清算的项目，监理方依据合同中的有关条款，进行责任确认、损失估算、索赔方案拟定等事宜的协商，协商成功后形成项目清算报告，并监督各方签发生效。</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协助项目参与各方完成项目总结并提交后续系统运行的建议。</w:t>
      </w:r>
    </w:p>
    <w:p>
      <w:pPr>
        <w:pStyle w:val="13"/>
        <w:numPr>
          <w:ilvl w:val="1"/>
          <w:numId w:val="13"/>
        </w:numPr>
        <w:spacing w:line="460" w:lineRule="exact"/>
        <w:ind w:left="0" w:firstLine="567"/>
        <w:rPr>
          <w:rFonts w:ascii="宋体" w:hAnsi="宋体"/>
          <w:color w:val="000000"/>
          <w:sz w:val="24"/>
        </w:rPr>
      </w:pPr>
      <w:r>
        <w:rPr>
          <w:rFonts w:hint="eastAsia" w:ascii="宋体" w:hAnsi="宋体"/>
          <w:color w:val="000000"/>
          <w:sz w:val="24"/>
        </w:rPr>
        <w:t>完成项目监理总结，整理完成与项目有关的全部监理文档，并交付建设单位。</w:t>
      </w:r>
    </w:p>
    <w:p>
      <w:pPr>
        <w:pStyle w:val="13"/>
        <w:spacing w:line="460" w:lineRule="exact"/>
        <w:ind w:firstLine="435" w:firstLineChars="200"/>
        <w:rPr>
          <w:rFonts w:hAnsi="宋体"/>
          <w:sz w:val="24"/>
        </w:rPr>
      </w:pPr>
    </w:p>
    <w:p>
      <w:pPr>
        <w:pStyle w:val="12"/>
        <w:rPr>
          <w:rFonts w:hAnsi="宋体"/>
          <w:sz w:val="24"/>
        </w:rPr>
      </w:pPr>
      <w:r>
        <w:rPr>
          <w:rFonts w:hint="eastAsia" w:hAnsi="宋体"/>
          <w:sz w:val="24"/>
        </w:rPr>
        <w:t>（四）质量控制</w:t>
      </w:r>
    </w:p>
    <w:p>
      <w:pPr>
        <w:pStyle w:val="13"/>
        <w:spacing w:line="460" w:lineRule="exact"/>
        <w:ind w:firstLine="435" w:firstLineChars="200"/>
        <w:rPr>
          <w:rFonts w:ascii="宋体" w:hAnsi="宋体"/>
          <w:color w:val="000000"/>
          <w:sz w:val="24"/>
        </w:rPr>
      </w:pPr>
      <w:r>
        <w:rPr>
          <w:rFonts w:hint="eastAsia" w:ascii="宋体" w:hAnsi="宋体"/>
          <w:color w:val="000000"/>
          <w:sz w:val="24"/>
        </w:rPr>
        <w:t>1、依据有关的招标文件、投标文件、合同和设计单位制定的广州住房公积金管理中心存量数据整理合并（监理与质量检查）采购项目技术规范书，审查、监督、控制各子项目的质量；</w:t>
      </w:r>
    </w:p>
    <w:p>
      <w:pPr>
        <w:pStyle w:val="13"/>
        <w:spacing w:line="460" w:lineRule="exact"/>
        <w:ind w:firstLine="435" w:firstLineChars="200"/>
        <w:rPr>
          <w:rFonts w:ascii="宋体" w:hAnsi="宋体"/>
          <w:color w:val="000000"/>
          <w:sz w:val="24"/>
        </w:rPr>
      </w:pPr>
      <w:r>
        <w:rPr>
          <w:rFonts w:hint="eastAsia" w:ascii="宋体" w:hAnsi="宋体"/>
          <w:color w:val="000000"/>
          <w:sz w:val="24"/>
        </w:rPr>
        <w:t>2、采取事前预防、事中控制、事后纠正的监理方式，依据国家法律、法规、标准以及项目合同、设计方案、监理规划、监理实施细则等文件控制工程质量；</w:t>
      </w:r>
    </w:p>
    <w:p>
      <w:pPr>
        <w:pStyle w:val="13"/>
        <w:spacing w:line="460" w:lineRule="exact"/>
        <w:ind w:firstLine="435" w:firstLineChars="200"/>
        <w:rPr>
          <w:rFonts w:ascii="宋体" w:hAnsi="宋体"/>
          <w:color w:val="000000"/>
          <w:sz w:val="24"/>
        </w:rPr>
      </w:pPr>
      <w:r>
        <w:rPr>
          <w:rFonts w:hint="eastAsia" w:ascii="宋体" w:hAnsi="宋体"/>
          <w:color w:val="000000"/>
          <w:sz w:val="24"/>
        </w:rPr>
        <w:t>3、组织软硬件工程质量、系统集成质量事故的原因调查、问题分析、问题评估、事故处理；</w:t>
      </w:r>
    </w:p>
    <w:p>
      <w:pPr>
        <w:pStyle w:val="13"/>
        <w:spacing w:line="460" w:lineRule="exact"/>
        <w:ind w:firstLine="435" w:firstLineChars="200"/>
        <w:rPr>
          <w:rFonts w:ascii="宋体" w:hAnsi="宋体"/>
          <w:color w:val="000000"/>
          <w:sz w:val="24"/>
        </w:rPr>
      </w:pPr>
      <w:r>
        <w:rPr>
          <w:rFonts w:hint="eastAsia" w:ascii="宋体" w:hAnsi="宋体"/>
          <w:color w:val="000000"/>
          <w:sz w:val="24"/>
        </w:rPr>
        <w:t>4、参与软件开发模型、开发环境的选择工作，监控软件开发过程质量；</w:t>
      </w:r>
    </w:p>
    <w:p>
      <w:pPr>
        <w:pStyle w:val="13"/>
        <w:spacing w:line="460" w:lineRule="exact"/>
        <w:ind w:firstLine="435" w:firstLineChars="200"/>
        <w:rPr>
          <w:rFonts w:ascii="宋体" w:hAnsi="宋体"/>
          <w:color w:val="000000"/>
          <w:sz w:val="24"/>
        </w:rPr>
      </w:pPr>
      <w:r>
        <w:rPr>
          <w:rFonts w:hint="eastAsia" w:ascii="宋体" w:hAnsi="宋体"/>
          <w:color w:val="000000"/>
          <w:sz w:val="24"/>
        </w:rPr>
        <w:t>5、监督需求管理、配置管理的执行和控制情况，督促软件开发单位整改存在的问题；</w:t>
      </w:r>
    </w:p>
    <w:p>
      <w:pPr>
        <w:pStyle w:val="13"/>
        <w:spacing w:line="460" w:lineRule="exact"/>
        <w:ind w:firstLine="435" w:firstLineChars="200"/>
        <w:rPr>
          <w:rFonts w:ascii="宋体" w:hAnsi="宋体"/>
          <w:color w:val="000000"/>
          <w:sz w:val="24"/>
        </w:rPr>
      </w:pPr>
      <w:r>
        <w:rPr>
          <w:rFonts w:hint="eastAsia" w:ascii="宋体" w:hAnsi="宋体"/>
          <w:color w:val="000000"/>
          <w:sz w:val="24"/>
        </w:rPr>
        <w:t>6、参与软件开发与集成工作的测试、集成、竣工验收和交接；</w:t>
      </w:r>
    </w:p>
    <w:p>
      <w:pPr>
        <w:pStyle w:val="13"/>
        <w:spacing w:line="460" w:lineRule="exact"/>
        <w:ind w:firstLine="435" w:firstLineChars="200"/>
        <w:rPr>
          <w:rFonts w:ascii="宋体" w:hAnsi="宋体"/>
          <w:color w:val="000000"/>
          <w:sz w:val="24"/>
        </w:rPr>
      </w:pPr>
      <w:r>
        <w:rPr>
          <w:rFonts w:hint="eastAsia" w:ascii="宋体" w:hAnsi="宋体"/>
          <w:color w:val="000000"/>
          <w:sz w:val="24"/>
        </w:rPr>
        <w:t>7、跟踪各子项目在质保期内的运行状况，督促承建单位做好售后服务。</w:t>
      </w:r>
    </w:p>
    <w:p>
      <w:pPr>
        <w:pStyle w:val="13"/>
        <w:spacing w:line="460" w:lineRule="exact"/>
        <w:ind w:firstLine="435" w:firstLineChars="200"/>
        <w:rPr>
          <w:rFonts w:hAnsi="宋体"/>
          <w:sz w:val="24"/>
        </w:rPr>
      </w:pPr>
    </w:p>
    <w:p>
      <w:pPr>
        <w:pStyle w:val="12"/>
        <w:rPr>
          <w:rFonts w:hAnsi="宋体"/>
          <w:sz w:val="24"/>
        </w:rPr>
      </w:pPr>
      <w:r>
        <w:rPr>
          <w:rFonts w:hint="eastAsia" w:hAnsi="宋体"/>
          <w:sz w:val="24"/>
        </w:rPr>
        <w:t>（五）进度控制</w:t>
      </w:r>
    </w:p>
    <w:p>
      <w:pPr>
        <w:pStyle w:val="13"/>
        <w:spacing w:line="460" w:lineRule="exact"/>
        <w:ind w:firstLine="435" w:firstLineChars="200"/>
        <w:rPr>
          <w:rFonts w:ascii="宋体" w:hAnsi="宋体"/>
          <w:color w:val="000000"/>
          <w:sz w:val="24"/>
        </w:rPr>
      </w:pPr>
      <w:r>
        <w:rPr>
          <w:rFonts w:hint="eastAsia" w:ascii="宋体" w:hAnsi="宋体"/>
          <w:color w:val="000000"/>
          <w:sz w:val="24"/>
        </w:rPr>
        <w:t>1、根据工程建设的要求审核承建单位的进度计划，审核项目实施进度的合理性、有效性和机动性，并对进度计划进行实时跟踪和动态监控；</w:t>
      </w:r>
    </w:p>
    <w:p>
      <w:pPr>
        <w:pStyle w:val="13"/>
        <w:spacing w:line="460" w:lineRule="exact"/>
        <w:ind w:firstLine="435" w:firstLineChars="200"/>
        <w:rPr>
          <w:rFonts w:ascii="宋体" w:hAnsi="宋体"/>
          <w:color w:val="000000"/>
          <w:sz w:val="24"/>
        </w:rPr>
      </w:pPr>
      <w:r>
        <w:rPr>
          <w:rFonts w:hint="eastAsia" w:ascii="宋体" w:hAnsi="宋体"/>
          <w:color w:val="000000"/>
          <w:sz w:val="24"/>
        </w:rPr>
        <w:t>2、监督检查项目进度执行情况，对项目实施进度进行实时跟踪，并要求承建单位对进度计划进行动态调整，以确保完成项目的进度目标；</w:t>
      </w:r>
    </w:p>
    <w:p>
      <w:pPr>
        <w:pStyle w:val="13"/>
        <w:spacing w:line="460" w:lineRule="exact"/>
        <w:ind w:firstLine="435" w:firstLineChars="200"/>
        <w:rPr>
          <w:rFonts w:ascii="宋体" w:hAnsi="宋体"/>
          <w:color w:val="000000"/>
          <w:sz w:val="24"/>
        </w:rPr>
      </w:pPr>
      <w:r>
        <w:rPr>
          <w:rFonts w:hint="eastAsia" w:ascii="宋体" w:hAnsi="宋体"/>
          <w:color w:val="000000"/>
          <w:sz w:val="24"/>
        </w:rPr>
        <w:t>3、发现项目进度未能按计划进行时，要求承建单位调整或修改计划，采取必要措施加快进度，以使项目进度符合合同的要求；当工期严重偏离计划时，应及时指出，并提出对策建议，同时督促承建单位尽快采取措施；</w:t>
      </w:r>
    </w:p>
    <w:p>
      <w:pPr>
        <w:pStyle w:val="13"/>
        <w:spacing w:line="460" w:lineRule="exact"/>
        <w:ind w:firstLine="435" w:firstLineChars="200"/>
        <w:rPr>
          <w:rFonts w:ascii="宋体" w:hAnsi="宋体"/>
          <w:color w:val="000000"/>
          <w:sz w:val="24"/>
        </w:rPr>
      </w:pPr>
      <w:r>
        <w:rPr>
          <w:rFonts w:hint="eastAsia" w:ascii="宋体" w:hAnsi="宋体"/>
          <w:color w:val="000000"/>
          <w:sz w:val="24"/>
        </w:rPr>
        <w:t>4、采用先进的项目管理工具，如：WBS，甘特图等，确定各项目建设顺序，控制项目实施进度。</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（六）投资控制</w:t>
      </w:r>
    </w:p>
    <w:p>
      <w:pPr>
        <w:pStyle w:val="13"/>
        <w:spacing w:line="460" w:lineRule="exact"/>
        <w:ind w:firstLine="435" w:firstLineChars="200"/>
        <w:rPr>
          <w:rFonts w:ascii="宋体" w:hAnsi="宋体"/>
          <w:color w:val="000000"/>
          <w:sz w:val="24"/>
        </w:rPr>
      </w:pPr>
      <w:r>
        <w:rPr>
          <w:rFonts w:hint="eastAsia" w:ascii="宋体" w:hAnsi="宋体"/>
          <w:color w:val="000000"/>
          <w:sz w:val="24"/>
        </w:rPr>
        <w:t>投资控制贯穿于可行性研究、设计、实施、验收、投入使用以及系统运行维护等阶段，投资控制不能脱离技术管理和进度管理独立存在，相反要在成本、技术、进度三者之间做综合平衡。及时、准确的成本、进度和技术跟踪报告，是项目经费管理和成本控制的依据。</w:t>
      </w:r>
    </w:p>
    <w:p>
      <w:pPr>
        <w:pStyle w:val="13"/>
        <w:spacing w:line="460" w:lineRule="exact"/>
        <w:ind w:firstLine="435" w:firstLineChars="200"/>
        <w:rPr>
          <w:rFonts w:ascii="宋体" w:hAnsi="宋体"/>
          <w:color w:val="000000"/>
          <w:sz w:val="24"/>
        </w:rPr>
      </w:pPr>
      <w:r>
        <w:rPr>
          <w:rFonts w:hint="eastAsia" w:ascii="宋体" w:hAnsi="宋体"/>
          <w:color w:val="000000"/>
          <w:sz w:val="24"/>
        </w:rPr>
        <w:t>1、动态管理、跟踪项目费用，进行费用控制和分析；</w:t>
      </w:r>
    </w:p>
    <w:p>
      <w:pPr>
        <w:pStyle w:val="13"/>
        <w:spacing w:line="460" w:lineRule="exact"/>
        <w:ind w:firstLine="435" w:firstLineChars="200"/>
        <w:rPr>
          <w:rFonts w:ascii="宋体" w:hAnsi="宋体"/>
          <w:color w:val="000000"/>
          <w:sz w:val="24"/>
        </w:rPr>
      </w:pPr>
      <w:r>
        <w:rPr>
          <w:rFonts w:hint="eastAsia" w:ascii="宋体" w:hAnsi="宋体"/>
          <w:color w:val="000000"/>
          <w:sz w:val="24"/>
        </w:rPr>
        <w:t>2、审查项目进度款申报；</w:t>
      </w:r>
    </w:p>
    <w:p>
      <w:pPr>
        <w:pStyle w:val="13"/>
        <w:spacing w:line="460" w:lineRule="exact"/>
        <w:ind w:firstLine="435" w:firstLineChars="200"/>
        <w:rPr>
          <w:rFonts w:ascii="宋体" w:hAnsi="宋体"/>
          <w:color w:val="000000"/>
          <w:sz w:val="24"/>
        </w:rPr>
      </w:pPr>
      <w:r>
        <w:rPr>
          <w:rFonts w:hint="eastAsia" w:ascii="宋体" w:hAnsi="宋体"/>
          <w:color w:val="000000"/>
          <w:sz w:val="24"/>
        </w:rPr>
        <w:t>3、严格控制和审查需求变更，核算成本和变化量，报建设单位审批；</w:t>
      </w:r>
    </w:p>
    <w:p>
      <w:pPr>
        <w:pStyle w:val="13"/>
        <w:spacing w:line="460" w:lineRule="exact"/>
        <w:ind w:firstLine="435" w:firstLineChars="200"/>
        <w:rPr>
          <w:rFonts w:ascii="宋体" w:hAnsi="宋体"/>
          <w:color w:val="000000"/>
          <w:sz w:val="24"/>
        </w:rPr>
      </w:pPr>
      <w:r>
        <w:rPr>
          <w:rFonts w:hint="eastAsia" w:ascii="宋体" w:hAnsi="宋体"/>
          <w:color w:val="000000"/>
          <w:sz w:val="24"/>
        </w:rPr>
        <w:t>4、审核承建单位的工程量清单和工程竣工结算；</w:t>
      </w:r>
    </w:p>
    <w:p>
      <w:pPr>
        <w:pStyle w:val="13"/>
        <w:spacing w:line="460" w:lineRule="exact"/>
        <w:ind w:firstLine="435" w:firstLineChars="200"/>
        <w:rPr>
          <w:rFonts w:ascii="宋体" w:hAnsi="宋体"/>
          <w:color w:val="000000"/>
          <w:sz w:val="24"/>
        </w:rPr>
      </w:pPr>
      <w:r>
        <w:rPr>
          <w:rFonts w:hint="eastAsia" w:ascii="宋体" w:hAnsi="宋体"/>
          <w:color w:val="000000"/>
          <w:sz w:val="24"/>
        </w:rPr>
        <w:t>5、通过对实施过程的监督，确保投资控制在预算之内；</w:t>
      </w:r>
    </w:p>
    <w:p>
      <w:pPr>
        <w:pStyle w:val="13"/>
        <w:spacing w:line="460" w:lineRule="exact"/>
        <w:ind w:firstLine="435" w:firstLineChars="200"/>
        <w:rPr>
          <w:rFonts w:ascii="宋体" w:hAnsi="宋体"/>
          <w:color w:val="000000"/>
          <w:sz w:val="24"/>
        </w:rPr>
      </w:pPr>
      <w:r>
        <w:rPr>
          <w:rFonts w:hint="eastAsia" w:ascii="宋体" w:hAnsi="宋体"/>
          <w:color w:val="000000"/>
          <w:sz w:val="24"/>
        </w:rPr>
        <w:t>6、当发现资金使用严重偏离计划时，应及时指出，并提出对策建议，同时督促承建单位尽快采取措施。</w:t>
      </w:r>
    </w:p>
    <w:p>
      <w:pPr>
        <w:pStyle w:val="12"/>
        <w:rPr>
          <w:rFonts w:hAnsi="宋体"/>
          <w:sz w:val="24"/>
        </w:rPr>
      </w:pPr>
      <w:r>
        <w:rPr>
          <w:rFonts w:hint="eastAsia" w:hAnsi="宋体"/>
          <w:sz w:val="24"/>
        </w:rPr>
        <w:t>（七）信息管理</w:t>
      </w:r>
    </w:p>
    <w:p>
      <w:pPr>
        <w:pStyle w:val="13"/>
        <w:spacing w:line="460" w:lineRule="exact"/>
        <w:ind w:firstLine="435" w:firstLineChars="200"/>
        <w:rPr>
          <w:rFonts w:ascii="宋体" w:hAnsi="宋体"/>
          <w:color w:val="000000"/>
          <w:sz w:val="24"/>
        </w:rPr>
      </w:pPr>
      <w:r>
        <w:rPr>
          <w:rFonts w:hint="eastAsia" w:ascii="宋体" w:hAnsi="宋体"/>
          <w:color w:val="000000"/>
          <w:sz w:val="24"/>
        </w:rPr>
        <w:t xml:space="preserve">本项目建设过程中，会产生大量的文档资料，包括各类设计施工文件、监理工作文件、会议记录、总结报告等，这些文件资料是进行项目管理、合同管理、项目维护、向上级汇报工作的依据，有些还涉及知识产权问题，监理单位务必做好对文档资料的管理工作，在工程各阶段产生上述关键文档均需按程序归档，需归档的文件清单、责任人和归档时间在监理业务流程必须有明确规定，主要工作包括： </w:t>
      </w:r>
    </w:p>
    <w:p>
      <w:pPr>
        <w:pStyle w:val="13"/>
        <w:spacing w:line="460" w:lineRule="exact"/>
        <w:ind w:firstLine="435" w:firstLineChars="200"/>
        <w:rPr>
          <w:rFonts w:ascii="宋体" w:hAnsi="宋体"/>
          <w:color w:val="000000"/>
          <w:sz w:val="24"/>
        </w:rPr>
      </w:pPr>
      <w:r>
        <w:rPr>
          <w:rFonts w:hint="eastAsia" w:ascii="宋体" w:hAnsi="宋体"/>
          <w:color w:val="000000"/>
          <w:sz w:val="24"/>
        </w:rPr>
        <w:t>1、及时向建设单位提交反映项目的动态信息和监理工作情况的项目文档；</w:t>
      </w:r>
    </w:p>
    <w:p>
      <w:pPr>
        <w:pStyle w:val="13"/>
        <w:spacing w:line="460" w:lineRule="exact"/>
        <w:ind w:firstLine="435" w:firstLineChars="200"/>
        <w:rPr>
          <w:rFonts w:ascii="宋体" w:hAnsi="宋体"/>
          <w:color w:val="000000"/>
          <w:sz w:val="24"/>
        </w:rPr>
      </w:pPr>
      <w:r>
        <w:rPr>
          <w:rFonts w:hint="eastAsia" w:ascii="宋体" w:hAnsi="宋体"/>
          <w:color w:val="000000"/>
          <w:sz w:val="24"/>
        </w:rPr>
        <w:t>2、建立全面、准确反映项目各阶段状况的图表、文档，收集、管理项目各类文档和资料；</w:t>
      </w:r>
    </w:p>
    <w:p>
      <w:pPr>
        <w:pStyle w:val="13"/>
        <w:spacing w:line="460" w:lineRule="exact"/>
        <w:ind w:firstLine="435" w:firstLineChars="200"/>
        <w:rPr>
          <w:rFonts w:ascii="宋体" w:hAnsi="宋体"/>
          <w:color w:val="000000"/>
          <w:sz w:val="24"/>
        </w:rPr>
      </w:pPr>
      <w:r>
        <w:rPr>
          <w:rFonts w:hint="eastAsia" w:ascii="宋体" w:hAnsi="宋体"/>
          <w:color w:val="000000"/>
          <w:sz w:val="24"/>
        </w:rPr>
        <w:t>3、督促、检查承建单位及时完成各阶段设计文档、代码、会议纪要、变更单、问题跟踪单等资料的整理和归档工作；</w:t>
      </w:r>
    </w:p>
    <w:p>
      <w:pPr>
        <w:pStyle w:val="13"/>
        <w:spacing w:line="460" w:lineRule="exact"/>
        <w:ind w:firstLine="435" w:firstLineChars="200"/>
        <w:rPr>
          <w:rFonts w:ascii="宋体" w:hAnsi="宋体"/>
          <w:color w:val="000000"/>
          <w:sz w:val="24"/>
        </w:rPr>
      </w:pPr>
      <w:r>
        <w:rPr>
          <w:rFonts w:hint="eastAsia" w:ascii="宋体" w:hAnsi="宋体"/>
          <w:color w:val="000000"/>
          <w:sz w:val="24"/>
        </w:rPr>
        <w:t>4、审查承建单位的设计文档、变更单、问题跟踪单，审查承建单位与建设单位之间的业务联系单、备忘录、电子邮件、传真、电话记录等，并加具意见；</w:t>
      </w:r>
    </w:p>
    <w:p>
      <w:pPr>
        <w:pStyle w:val="13"/>
        <w:spacing w:line="460" w:lineRule="exact"/>
        <w:ind w:firstLine="435" w:firstLineChars="200"/>
        <w:rPr>
          <w:rFonts w:ascii="宋体" w:hAnsi="宋体"/>
          <w:color w:val="000000"/>
          <w:sz w:val="24"/>
        </w:rPr>
      </w:pPr>
      <w:r>
        <w:rPr>
          <w:rFonts w:hint="eastAsia" w:ascii="宋体" w:hAnsi="宋体"/>
          <w:color w:val="000000"/>
          <w:sz w:val="24"/>
        </w:rPr>
        <w:t>5、采用图表、统计技术或其他先进的管理方法，定期公布项目质量、进度、成本数据，就项目中存在或出现的问题向建设单位、承建单位、设计单位提出独立、公正、公平的意见建议或解决方案；</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（八）组织协调</w:t>
      </w:r>
    </w:p>
    <w:p>
      <w:pPr>
        <w:pStyle w:val="13"/>
        <w:spacing w:line="460" w:lineRule="exact"/>
        <w:ind w:firstLine="435" w:firstLineChars="200"/>
        <w:rPr>
          <w:rFonts w:ascii="宋体" w:hAnsi="宋体"/>
          <w:color w:val="000000"/>
          <w:sz w:val="24"/>
        </w:rPr>
      </w:pPr>
      <w:r>
        <w:rPr>
          <w:rFonts w:hint="eastAsia" w:ascii="宋体" w:hAnsi="宋体"/>
          <w:color w:val="000000"/>
          <w:sz w:val="24"/>
        </w:rPr>
        <w:t>1、监督项目各方履行职责，协调各方的工作关系；</w:t>
      </w:r>
    </w:p>
    <w:p>
      <w:pPr>
        <w:pStyle w:val="13"/>
        <w:spacing w:line="460" w:lineRule="exact"/>
        <w:ind w:firstLine="435" w:firstLineChars="200"/>
        <w:rPr>
          <w:rFonts w:ascii="宋体" w:hAnsi="宋体"/>
          <w:color w:val="000000"/>
          <w:sz w:val="24"/>
        </w:rPr>
      </w:pPr>
      <w:r>
        <w:rPr>
          <w:rFonts w:hint="eastAsia" w:ascii="宋体" w:hAnsi="宋体"/>
          <w:color w:val="000000"/>
          <w:sz w:val="24"/>
        </w:rPr>
        <w:t>2、建立畅通的沟通平台和沟通渠道，采取有效措施使项目信息在有关各方之间保持顺畅流通，积极协调项目各方之间的关系，推动项目实施过程中问题的解决。</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（九）信息安全管理</w:t>
      </w:r>
    </w:p>
    <w:p>
      <w:pPr>
        <w:pStyle w:val="13"/>
        <w:spacing w:line="460" w:lineRule="exact"/>
        <w:ind w:firstLine="435" w:firstLineChars="200"/>
        <w:rPr>
          <w:rFonts w:ascii="宋体" w:hAnsi="宋体"/>
          <w:color w:val="000000"/>
          <w:sz w:val="24"/>
        </w:rPr>
      </w:pPr>
      <w:r>
        <w:rPr>
          <w:rFonts w:hint="eastAsia" w:ascii="宋体" w:hAnsi="宋体"/>
          <w:color w:val="000000"/>
          <w:sz w:val="24"/>
        </w:rPr>
        <w:t>1、督促承建单位建立完善的信息安全管理制度，数据备份制度；</w:t>
      </w:r>
    </w:p>
    <w:p>
      <w:pPr>
        <w:pStyle w:val="13"/>
        <w:spacing w:line="460" w:lineRule="exact"/>
        <w:ind w:firstLine="435" w:firstLineChars="200"/>
        <w:rPr>
          <w:rFonts w:ascii="宋体" w:hAnsi="宋体"/>
          <w:color w:val="000000"/>
          <w:sz w:val="24"/>
        </w:rPr>
      </w:pPr>
      <w:r>
        <w:rPr>
          <w:rFonts w:hint="eastAsia" w:ascii="宋体" w:hAnsi="宋体"/>
          <w:color w:val="000000"/>
          <w:sz w:val="24"/>
        </w:rPr>
        <w:t>2、组织信息安全事故的调查与处理；</w:t>
      </w:r>
    </w:p>
    <w:p>
      <w:pPr>
        <w:pStyle w:val="13"/>
        <w:spacing w:line="460" w:lineRule="exact"/>
        <w:ind w:firstLine="435" w:firstLineChars="200"/>
        <w:rPr>
          <w:rFonts w:ascii="宋体" w:hAnsi="宋体"/>
          <w:color w:val="000000"/>
          <w:sz w:val="24"/>
        </w:rPr>
      </w:pPr>
      <w:r>
        <w:rPr>
          <w:rFonts w:hint="eastAsia" w:ascii="宋体" w:hAnsi="宋体"/>
          <w:color w:val="000000"/>
          <w:sz w:val="24"/>
        </w:rPr>
        <w:t>3、建立软件开发与系统集成的信息安全管理工作目标和管理流程；</w:t>
      </w:r>
    </w:p>
    <w:p>
      <w:pPr>
        <w:pStyle w:val="13"/>
        <w:spacing w:line="460" w:lineRule="exact"/>
        <w:ind w:firstLine="435" w:firstLineChars="200"/>
        <w:rPr>
          <w:rFonts w:ascii="宋体" w:hAnsi="宋体"/>
          <w:color w:val="000000"/>
          <w:sz w:val="24"/>
        </w:rPr>
      </w:pPr>
      <w:r>
        <w:rPr>
          <w:rFonts w:hint="eastAsia" w:ascii="宋体" w:hAnsi="宋体"/>
          <w:color w:val="000000"/>
          <w:sz w:val="24"/>
        </w:rPr>
        <w:t>4、运用ISO27001标准，提高项目整体的信息安全水平。</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（十）项目文档管理</w:t>
      </w:r>
    </w:p>
    <w:p>
      <w:pPr>
        <w:pStyle w:val="13"/>
        <w:spacing w:line="460" w:lineRule="exact"/>
        <w:ind w:firstLine="435" w:firstLineChars="200"/>
        <w:rPr>
          <w:rFonts w:ascii="宋体" w:hAnsi="宋体"/>
          <w:color w:val="000000"/>
          <w:sz w:val="24"/>
        </w:rPr>
      </w:pPr>
      <w:r>
        <w:rPr>
          <w:rFonts w:hint="eastAsia" w:ascii="宋体" w:hAnsi="宋体"/>
          <w:color w:val="000000"/>
          <w:sz w:val="24"/>
        </w:rPr>
        <w:t>1、督促检查承建单位及时完成各阶段设计文档、程序代码、测试记录、变更记录、问题跟踪处理记录等文件的归档工作，按归档要求进行分类整理归档，按时完成竣工资料（包括监理工作方面的归档资料）验收，确保软件工程中各类文件传送的规范化、制度化，监理类文书资料管理的科学化、规范化。</w:t>
      </w:r>
    </w:p>
    <w:p>
      <w:pPr>
        <w:pStyle w:val="13"/>
        <w:spacing w:line="460" w:lineRule="exact"/>
        <w:ind w:firstLine="435" w:firstLineChars="200"/>
        <w:rPr>
          <w:rFonts w:ascii="宋体" w:hAnsi="宋体"/>
          <w:color w:val="000000"/>
          <w:sz w:val="24"/>
        </w:rPr>
      </w:pPr>
      <w:r>
        <w:rPr>
          <w:rFonts w:hint="eastAsia" w:ascii="宋体" w:hAnsi="宋体"/>
          <w:color w:val="000000"/>
          <w:sz w:val="24"/>
        </w:rPr>
        <w:t>2、监理方的文档管理人员，负责收集、管理监理工作各类文书资料，对监理工作文档、收发文签收登记等进行管理。</w:t>
      </w:r>
    </w:p>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（十一）项目监理测试要求</w:t>
      </w:r>
    </w:p>
    <w:p>
      <w:pPr>
        <w:pStyle w:val="13"/>
        <w:spacing w:line="360" w:lineRule="auto"/>
        <w:ind w:firstLine="435" w:firstLineChars="200"/>
        <w:rPr>
          <w:rFonts w:ascii="宋体" w:hAnsi="宋体"/>
          <w:color w:val="000000"/>
          <w:sz w:val="24"/>
        </w:rPr>
      </w:pPr>
      <w:r>
        <w:rPr>
          <w:rFonts w:hint="eastAsia" w:ascii="宋体" w:hAnsi="宋体"/>
          <w:color w:val="000000"/>
          <w:sz w:val="24"/>
        </w:rPr>
        <w:t>本项目建设是综合性信息系统工程，为了保障系统建设质量，本项目监理要求在完成常规的项目监理工作时，加强监理测试工作，尤其要加强</w:t>
      </w:r>
      <w:r>
        <w:rPr>
          <w:rFonts w:hint="eastAsia" w:ascii="宋体" w:hAnsi="宋体" w:cs="仿宋"/>
          <w:bCs/>
          <w:color w:val="000000"/>
          <w:sz w:val="24"/>
        </w:rPr>
        <w:t>开发接口软件</w:t>
      </w:r>
      <w:r>
        <w:rPr>
          <w:rFonts w:hint="eastAsia" w:ascii="宋体" w:hAnsi="宋体"/>
          <w:color w:val="000000"/>
          <w:sz w:val="24"/>
        </w:rPr>
        <w:t>应用系统性能监控测试。要求投标方提供完整的测试方案，并响应相应的技术指标。</w:t>
      </w:r>
    </w:p>
    <w:p>
      <w:pPr>
        <w:pStyle w:val="13"/>
        <w:spacing w:line="360" w:lineRule="auto"/>
        <w:ind w:firstLine="435" w:firstLineChars="200"/>
        <w:rPr>
          <w:rFonts w:ascii="宋体" w:hAnsi="宋体" w:cs="宋体"/>
          <w:color w:val="000000"/>
          <w:sz w:val="24"/>
        </w:rPr>
      </w:pPr>
      <w:r>
        <w:rPr>
          <w:rFonts w:hint="eastAsia" w:ascii="宋体" w:hAnsi="宋体" w:cs="宋体"/>
          <w:color w:val="000000"/>
          <w:sz w:val="24"/>
        </w:rPr>
        <w:t>为保障系统用户稳定、顺畅的使用效果</w:t>
      </w:r>
      <w:r>
        <w:rPr>
          <w:rFonts w:hint="eastAsia" w:ascii="宋体" w:hAnsi="宋体"/>
          <w:color w:val="000000"/>
          <w:sz w:val="24"/>
        </w:rPr>
        <w:t>，对项目涉及档案电子化整理、档案开发接口</w:t>
      </w:r>
      <w:r>
        <w:rPr>
          <w:rFonts w:hint="eastAsia" w:ascii="宋体" w:hAnsi="宋体" w:cs="仿宋"/>
          <w:bCs/>
          <w:color w:val="000000"/>
          <w:sz w:val="24"/>
        </w:rPr>
        <w:t>软件</w:t>
      </w:r>
      <w:r>
        <w:rPr>
          <w:rFonts w:hint="eastAsia" w:ascii="宋体" w:hAnsi="宋体" w:cs="宋体"/>
          <w:color w:val="000000"/>
          <w:sz w:val="24"/>
        </w:rPr>
        <w:t>、</w:t>
      </w:r>
      <w:r>
        <w:rPr>
          <w:rFonts w:hint="eastAsia" w:ascii="宋体" w:hAnsi="宋体"/>
          <w:color w:val="000000"/>
          <w:sz w:val="24"/>
        </w:rPr>
        <w:t>档案</w:t>
      </w:r>
      <w:r>
        <w:rPr>
          <w:rFonts w:hint="eastAsia" w:ascii="宋体" w:hAnsi="宋体" w:cs="仿宋"/>
          <w:bCs/>
          <w:color w:val="000000"/>
          <w:sz w:val="24"/>
        </w:rPr>
        <w:t>数据整理、数据与公积金新系统对接，</w:t>
      </w:r>
      <w:r>
        <w:rPr>
          <w:rFonts w:hint="eastAsia" w:ascii="宋体" w:hAnsi="宋体" w:cs="宋体"/>
          <w:color w:val="000000"/>
          <w:sz w:val="24"/>
        </w:rPr>
        <w:t>在系统试运行期间需要提供</w:t>
      </w:r>
      <w:r>
        <w:rPr>
          <w:rFonts w:hint="eastAsia" w:ascii="宋体" w:hAnsi="宋体"/>
          <w:color w:val="000000"/>
          <w:sz w:val="24"/>
        </w:rPr>
        <w:t>信息网络系统测试、信息应用系统测试、信息应用</w:t>
      </w:r>
      <w:r>
        <w:rPr>
          <w:rFonts w:hint="eastAsia" w:ascii="宋体" w:hAnsi="宋体" w:cs="宋体"/>
          <w:color w:val="000000"/>
          <w:sz w:val="24"/>
        </w:rPr>
        <w:t>服务性能管理检测，针对系统的可用性、执行效率，运行风险进行检测。通过智能技术手段对平台的运行性能和健康状况进行实时、有效的监控，实现从用户端到后端应用、数据库的性能监控及分析，对应用整体健康状况进行可视化监控，发生故障能自动告警，并可智能分析故障的原因，并可深入到网络数据包及程序代码，找到问题根源，为提高和优化业务系统的性能提供有力技术手段，缩短故障排查和解决的时间，提高故障解决的效率。</w:t>
      </w:r>
    </w:p>
    <w:p>
      <w:pPr>
        <w:pStyle w:val="13"/>
        <w:spacing w:line="360" w:lineRule="auto"/>
        <w:ind w:firstLine="435" w:firstLineChars="200"/>
        <w:rPr>
          <w:rFonts w:ascii="宋体" w:hAnsi="宋体" w:cs="宋体"/>
          <w:color w:val="000000"/>
          <w:sz w:val="24"/>
        </w:rPr>
      </w:pPr>
      <w:r>
        <w:rPr>
          <w:rFonts w:hint="eastAsia" w:ascii="宋体" w:hAnsi="宋体" w:cs="宋体"/>
          <w:color w:val="000000"/>
          <w:sz w:val="24"/>
        </w:rPr>
        <w:t>通过系统性能监控及故障诊断工具，满足以下但不仅限于以下功能：</w:t>
      </w:r>
    </w:p>
    <w:p>
      <w:pPr>
        <w:pStyle w:val="13"/>
        <w:spacing w:line="360" w:lineRule="auto"/>
        <w:ind w:firstLine="435" w:firstLineChars="200"/>
        <w:rPr>
          <w:rFonts w:ascii="宋体" w:hAnsi="宋体" w:cs="宋体"/>
          <w:color w:val="000000"/>
          <w:sz w:val="24"/>
        </w:rPr>
      </w:pPr>
      <w:r>
        <w:rPr>
          <w:rFonts w:hint="eastAsia" w:ascii="宋体" w:hAnsi="宋体" w:cs="宋体"/>
          <w:color w:val="000000"/>
          <w:sz w:val="24"/>
        </w:rPr>
        <w:t>真实用户体验监控：实时监控和分析真实用户的可用性状态，包括应用响应时间和可用性等。</w:t>
      </w:r>
    </w:p>
    <w:p>
      <w:pPr>
        <w:pStyle w:val="13"/>
        <w:spacing w:line="360" w:lineRule="auto"/>
        <w:ind w:firstLine="435" w:firstLineChars="200"/>
        <w:rPr>
          <w:rFonts w:ascii="宋体" w:hAnsi="宋体" w:cs="宋体"/>
          <w:bCs/>
          <w:color w:val="000000"/>
          <w:sz w:val="24"/>
        </w:rPr>
      </w:pPr>
      <w:r>
        <w:rPr>
          <w:rFonts w:hint="eastAsia" w:ascii="宋体" w:hAnsi="宋体" w:cs="宋体"/>
          <w:bCs/>
          <w:color w:val="000000"/>
          <w:sz w:val="24"/>
        </w:rPr>
        <w:t>提供</w:t>
      </w:r>
      <w:r>
        <w:rPr>
          <w:rFonts w:hint="eastAsia" w:ascii="宋体" w:hAnsi="宋体"/>
          <w:bCs/>
          <w:color w:val="000000"/>
          <w:sz w:val="24"/>
        </w:rPr>
        <w:t>信息网络系统测试、信息应用系统测试、信息应用</w:t>
      </w:r>
      <w:r>
        <w:rPr>
          <w:rFonts w:hint="eastAsia" w:ascii="宋体" w:hAnsi="宋体" w:cs="宋体"/>
          <w:bCs/>
          <w:color w:val="000000"/>
          <w:sz w:val="24"/>
        </w:rPr>
        <w:t>服务性能管理检测工具服务：</w:t>
      </w:r>
    </w:p>
    <w:tbl>
      <w:tblPr>
        <w:tblStyle w:val="9"/>
        <w:tblW w:w="9571"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83"/>
        <w:gridCol w:w="1977"/>
        <w:gridCol w:w="681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41" w:hRule="atLeast"/>
          <w:jc w:val="center"/>
        </w:trPr>
        <w:tc>
          <w:tcPr>
            <w:tcW w:w="783"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序号</w:t>
            </w:r>
          </w:p>
        </w:tc>
        <w:tc>
          <w:tcPr>
            <w:tcW w:w="1977"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指标名称</w:t>
            </w:r>
          </w:p>
        </w:tc>
        <w:tc>
          <w:tcPr>
            <w:tcW w:w="6811"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指标要求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35"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1</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轻量级代理技术</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监测工具的安装及拆卸要求能够快速实施，不能影响业务系统的正常运作；</w:t>
            </w:r>
          </w:p>
          <w:p>
            <w:pPr>
              <w:pStyle w:val="13"/>
              <w:rPr>
                <w:rFonts w:ascii="宋体" w:hAnsi="宋体" w:cs="宋体"/>
                <w:color w:val="000000"/>
                <w:szCs w:val="20"/>
              </w:rPr>
            </w:pPr>
            <w:r>
              <w:rPr>
                <w:rFonts w:hint="eastAsia" w:ascii="宋体" w:hAnsi="宋体" w:cs="宋体"/>
                <w:color w:val="000000"/>
                <w:szCs w:val="20"/>
              </w:rPr>
              <w:t>代理技术对监测主机的资源消耗不能大于5%</w:t>
            </w:r>
          </w:p>
          <w:p>
            <w:pPr>
              <w:pStyle w:val="13"/>
              <w:rPr>
                <w:rFonts w:ascii="宋体" w:hAnsi="宋体" w:cs="宋体"/>
                <w:color w:val="000000"/>
                <w:szCs w:val="20"/>
              </w:rPr>
            </w:pPr>
            <w:r>
              <w:rPr>
                <w:rFonts w:hint="eastAsia" w:ascii="宋体" w:hAnsi="宋体" w:cs="宋体"/>
                <w:color w:val="000000"/>
                <w:szCs w:val="20"/>
              </w:rPr>
              <w:t>监测工具运行过程中应用服务的正常使用不能造成干扰或影响；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2</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监测过程支持7X24小时不间断开展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为真实掌握系统的用户访问情况，要求监测工具开始运行时，信息系统所有的访问都能进行监测、记录。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3</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代码级深度性能诊断</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监测工具要求能够开展深度代码诊断和分析，跟踪记录每个交易的代码级上下文联系，以及对于资源的消耗。提供系统功能截图。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4</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端到端全交付链监测</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系统必须能够实行端到端的整体可视化监测，而不是对组成原件的孤立检测；应用服务运行过程终端调用到的相关软件服务、硬件组件，这些组件之间的交互关系都要实时将交易路径以清晰的图形化进行展示。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5</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应用监控测试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测试工具支持自动发现中间件中运行的应用，实时收集应用的性能数据，包括响应时间，单位时间的请求次数，错误数，错误率，并发执行数，超时挂起的数量。上述单位时间的最小15秒，可以汇聚为分钟、小时等单位。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6</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主机环境监控测试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提供测试工具监控主机的性能服务，包括按照主机的健康度，例如是否正常，较慢，很慢，挂起等状态，以及状态之间的变化趋势。提供系统功能截图。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7</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分析测试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当应用或者交易的性能发生变化或者违背健康（变慢或者挂起等），测试工具会自动收集交易的详细执行过程信息，提供详细的分析能力，帮助监控人员理解性能问题的原因。交易过程的详细信息包括当前交易的健康状态（例如变慢还是挂起，还是性能变化超出基线），该交易的执行时长，执行时间，执行的中间件，主机，所属业务过程，进程／线程信息，请求GUID（用于追踪跨JVM的分布交易过程。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8</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应用拓扑图</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测试工具需支持自动发现应用的执行拓扑图，自动发现从客户前端到后端（数据库，外部调用等）等调用关系，在拓扑图上实时显示应用组件的性能状态。便于监控人员快速发现问题以及隔离定位问题的根源。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83" w:type="dxa"/>
            <w:vAlign w:val="center"/>
          </w:tcPr>
          <w:p>
            <w:pPr>
              <w:pStyle w:val="13"/>
              <w:jc w:val="center"/>
              <w:rPr>
                <w:rFonts w:ascii="宋体" w:hAnsi="宋体" w:cs="宋体"/>
                <w:color w:val="000000"/>
                <w:szCs w:val="20"/>
              </w:rPr>
            </w:pPr>
            <w:r>
              <w:rPr>
                <w:rFonts w:hint="eastAsia" w:ascii="宋体" w:hAnsi="宋体" w:cs="宋体"/>
                <w:color w:val="000000"/>
                <w:szCs w:val="20"/>
              </w:rPr>
              <w:t>9</w:t>
            </w:r>
          </w:p>
        </w:tc>
        <w:tc>
          <w:tcPr>
            <w:tcW w:w="1977" w:type="dxa"/>
            <w:vAlign w:val="center"/>
          </w:tcPr>
          <w:p>
            <w:pPr>
              <w:pStyle w:val="13"/>
              <w:rPr>
                <w:rFonts w:ascii="宋体" w:hAnsi="宋体" w:cs="宋体"/>
                <w:color w:val="000000"/>
                <w:szCs w:val="20"/>
              </w:rPr>
            </w:pPr>
            <w:r>
              <w:rPr>
                <w:rFonts w:hint="eastAsia" w:ascii="宋体" w:hAnsi="宋体" w:cs="宋体"/>
                <w:color w:val="000000"/>
                <w:szCs w:val="20"/>
              </w:rPr>
              <w:t>错误和异常监控测试</w:t>
            </w:r>
          </w:p>
        </w:tc>
        <w:tc>
          <w:tcPr>
            <w:tcW w:w="6811" w:type="dxa"/>
            <w:vAlign w:val="center"/>
          </w:tcPr>
          <w:p>
            <w:pPr>
              <w:pStyle w:val="13"/>
              <w:rPr>
                <w:rFonts w:ascii="宋体" w:hAnsi="宋体" w:cs="宋体"/>
                <w:color w:val="000000"/>
                <w:szCs w:val="20"/>
              </w:rPr>
            </w:pPr>
            <w:r>
              <w:rPr>
                <w:rFonts w:hint="eastAsia" w:ascii="宋体" w:hAnsi="宋体" w:cs="宋体"/>
                <w:color w:val="000000"/>
                <w:szCs w:val="20"/>
              </w:rPr>
              <w:t>测试工具需支持自动收集发生错误和异常的业务交易过程的执行细节，供监控人员查看执行的错误详细信息。可以按条件搜索查看错误交易过程的列表。选择任一错误交易查看错误详细信息：开始时间，错误类型和信息，错误栈，请求URL，执行所在的中间件容器，主机。提供系统功能截图。</w:t>
            </w:r>
          </w:p>
        </w:tc>
      </w:tr>
    </w:tbl>
    <w:p>
      <w:pPr>
        <w:pStyle w:val="13"/>
        <w:spacing w:line="460" w:lineRule="exact"/>
        <w:ind w:firstLine="435" w:firstLineChars="200"/>
        <w:rPr>
          <w:rFonts w:ascii="宋体" w:hAnsi="宋体"/>
          <w:color w:val="000000"/>
          <w:sz w:val="24"/>
        </w:rPr>
      </w:pPr>
    </w:p>
    <w:p>
      <w:pPr>
        <w:pStyle w:val="12"/>
        <w:rPr>
          <w:rFonts w:hAnsi="宋体"/>
          <w:sz w:val="24"/>
        </w:rPr>
      </w:pPr>
      <w:r>
        <w:rPr>
          <w:rFonts w:hint="eastAsia" w:hAnsi="宋体"/>
          <w:sz w:val="24"/>
        </w:rPr>
        <w:t>（十二）监理人员要求</w:t>
      </w:r>
    </w:p>
    <w:p>
      <w:pPr>
        <w:pStyle w:val="13"/>
        <w:spacing w:line="460" w:lineRule="exact"/>
        <w:ind w:firstLine="435" w:firstLineChars="200"/>
        <w:rPr>
          <w:rFonts w:ascii="宋体" w:hAnsi="宋体"/>
          <w:color w:val="000000"/>
          <w:sz w:val="24"/>
        </w:rPr>
      </w:pPr>
      <w:r>
        <w:rPr>
          <w:rFonts w:hint="eastAsia" w:ascii="宋体" w:hAnsi="宋体"/>
          <w:color w:val="000000"/>
          <w:sz w:val="24"/>
        </w:rPr>
        <w:t>本项目监理的特点是技术涉及面广，涉及到项目的各个阶段，因此要求中标人必须配备专业齐全、经验丰富的监理人员团队为本项目提供监理服务，本次监理项目实行总监理工程师负责制，并要求中标人派出1名现场总监代表及2名现场监理工程师。其中现场总监代表必须驻场。</w:t>
      </w:r>
    </w:p>
    <w:p>
      <w:pPr>
        <w:pStyle w:val="13"/>
        <w:spacing w:line="460" w:lineRule="exact"/>
        <w:ind w:firstLine="435" w:firstLineChars="200"/>
        <w:rPr>
          <w:rFonts w:ascii="宋体" w:hAnsi="宋体"/>
          <w:color w:val="000000"/>
          <w:sz w:val="24"/>
        </w:rPr>
      </w:pPr>
      <w:r>
        <w:rPr>
          <w:rFonts w:hint="eastAsia" w:ascii="宋体" w:hAnsi="宋体"/>
          <w:color w:val="000000"/>
          <w:sz w:val="24"/>
        </w:rPr>
        <w:t>1、现场监理工程师应具备相应专业知识和实践经验，能满足本项目监理需要，并保证专职从事本项目监理工作。</w:t>
      </w:r>
    </w:p>
    <w:p>
      <w:pPr>
        <w:pStyle w:val="13"/>
        <w:spacing w:line="460" w:lineRule="exact"/>
        <w:ind w:firstLine="435" w:firstLineChars="200"/>
        <w:rPr>
          <w:rFonts w:ascii="宋体" w:hAnsi="宋体"/>
          <w:color w:val="000000"/>
          <w:sz w:val="24"/>
        </w:rPr>
      </w:pPr>
      <w:r>
        <w:rPr>
          <w:rFonts w:ascii="宋体" w:hAnsi="宋体"/>
          <w:color w:val="000000"/>
          <w:sz w:val="24"/>
        </w:rPr>
        <w:t>2</w:t>
      </w:r>
      <w:r>
        <w:rPr>
          <w:rFonts w:hint="eastAsia" w:ascii="宋体" w:hAnsi="宋体"/>
          <w:color w:val="000000"/>
          <w:sz w:val="24"/>
        </w:rPr>
        <w:t>、中标人须保证派出的本项目监理人员要与投标文件中提供的监理人员名单一致，并专职从事本项目监理工作。若需更换监理人员的，必须提前10个工作日书面报建设单位批准后方可更换，替代人员必须具有与原监理人员相当或更高的资质和能力。原则上不允许中途更换总监理工程师。</w:t>
      </w:r>
    </w:p>
    <w:p>
      <w:pPr>
        <w:pStyle w:val="13"/>
        <w:spacing w:line="460" w:lineRule="exact"/>
        <w:ind w:firstLine="435" w:firstLineChars="200"/>
        <w:rPr>
          <w:rFonts w:ascii="宋体" w:hAnsi="宋体"/>
          <w:color w:val="000000"/>
          <w:sz w:val="24"/>
        </w:rPr>
      </w:pPr>
      <w:r>
        <w:rPr>
          <w:rFonts w:ascii="宋体" w:hAnsi="宋体"/>
          <w:color w:val="000000"/>
          <w:sz w:val="24"/>
        </w:rPr>
        <w:t>3</w:t>
      </w:r>
      <w:r>
        <w:rPr>
          <w:rFonts w:hint="eastAsia" w:ascii="宋体" w:hAnsi="宋体"/>
          <w:color w:val="000000"/>
          <w:sz w:val="24"/>
        </w:rPr>
        <w:t>、出现下列情况之一的，中标人必须在3个工作日内书面通知建设单位：</w:t>
      </w:r>
    </w:p>
    <w:p>
      <w:pPr>
        <w:pStyle w:val="13"/>
        <w:spacing w:line="460" w:lineRule="exact"/>
        <w:ind w:firstLine="435" w:firstLineChars="200"/>
        <w:rPr>
          <w:rFonts w:ascii="宋体" w:hAnsi="宋体"/>
          <w:color w:val="000000"/>
          <w:sz w:val="24"/>
        </w:rPr>
      </w:pPr>
      <w:r>
        <w:rPr>
          <w:rFonts w:hint="eastAsia" w:ascii="宋体" w:hAnsi="宋体"/>
          <w:color w:val="000000"/>
          <w:sz w:val="24"/>
        </w:rPr>
        <w:t>（1）工作人员辞职或解聘；</w:t>
      </w:r>
    </w:p>
    <w:p>
      <w:pPr>
        <w:pStyle w:val="13"/>
        <w:spacing w:line="460" w:lineRule="exact"/>
        <w:ind w:firstLine="435" w:firstLineChars="200"/>
        <w:rPr>
          <w:rFonts w:ascii="宋体" w:hAnsi="宋体"/>
          <w:color w:val="000000"/>
          <w:sz w:val="24"/>
        </w:rPr>
      </w:pPr>
      <w:r>
        <w:rPr>
          <w:rFonts w:hint="eastAsia" w:ascii="宋体" w:hAnsi="宋体"/>
          <w:color w:val="000000"/>
          <w:sz w:val="24"/>
        </w:rPr>
        <w:t>（2）监理工程师受取消监理工程师资格处分的；</w:t>
      </w:r>
    </w:p>
    <w:p>
      <w:pPr>
        <w:pStyle w:val="13"/>
        <w:spacing w:line="460" w:lineRule="exact"/>
        <w:ind w:firstLine="435" w:firstLineChars="200"/>
        <w:rPr>
          <w:rFonts w:ascii="宋体" w:hAnsi="宋体"/>
          <w:color w:val="000000"/>
          <w:sz w:val="24"/>
        </w:rPr>
      </w:pPr>
      <w:r>
        <w:rPr>
          <w:rFonts w:hint="eastAsia" w:ascii="宋体" w:hAnsi="宋体"/>
          <w:color w:val="000000"/>
          <w:sz w:val="24"/>
        </w:rPr>
        <w:t>（3）其他原因已不适合在本项目中做监理工作的。</w:t>
      </w:r>
    </w:p>
    <w:p>
      <w:pPr>
        <w:pStyle w:val="13"/>
        <w:spacing w:line="460" w:lineRule="exact"/>
        <w:ind w:firstLine="435" w:firstLineChars="200"/>
        <w:rPr>
          <w:rFonts w:ascii="宋体" w:hAnsi="宋体"/>
          <w:color w:val="000000"/>
          <w:sz w:val="24"/>
        </w:rPr>
      </w:pPr>
      <w:r>
        <w:rPr>
          <w:rFonts w:ascii="宋体" w:hAnsi="宋体"/>
          <w:color w:val="000000"/>
          <w:sz w:val="24"/>
        </w:rPr>
        <w:t>4</w:t>
      </w:r>
      <w:r>
        <w:rPr>
          <w:rFonts w:hint="eastAsia" w:ascii="宋体" w:hAnsi="宋体"/>
          <w:color w:val="000000"/>
          <w:sz w:val="24"/>
        </w:rPr>
        <w:t>、建设单位有权书面要求中标人撤换任何不称职的监理人员，更换人员必须具有与原工作人员相当或更高的资质和能力。</w:t>
      </w:r>
    </w:p>
    <w:p>
      <w:pPr>
        <w:pStyle w:val="13"/>
        <w:spacing w:line="460" w:lineRule="exact"/>
        <w:ind w:firstLine="435" w:firstLineChars="200"/>
        <w:rPr>
          <w:rFonts w:ascii="宋体" w:hAnsi="宋体"/>
          <w:color w:val="000000"/>
          <w:sz w:val="24"/>
        </w:rPr>
      </w:pPr>
      <w:r>
        <w:rPr>
          <w:rFonts w:ascii="宋体" w:hAnsi="宋体"/>
          <w:color w:val="000000"/>
          <w:sz w:val="24"/>
        </w:rPr>
        <w:t>5</w:t>
      </w:r>
      <w:r>
        <w:rPr>
          <w:rFonts w:hint="eastAsia" w:ascii="宋体" w:hAnsi="宋体"/>
          <w:color w:val="000000"/>
          <w:sz w:val="24"/>
        </w:rPr>
        <w:t>、在项目建设阶段，监理团队须全程在甲方指定的地点工作；</w:t>
      </w:r>
    </w:p>
    <w:p>
      <w:pPr>
        <w:pStyle w:val="13"/>
        <w:spacing w:line="460" w:lineRule="exact"/>
        <w:ind w:firstLine="435" w:firstLineChars="200"/>
        <w:rPr>
          <w:rFonts w:ascii="宋体" w:hAnsi="宋体"/>
          <w:color w:val="000000"/>
          <w:sz w:val="24"/>
        </w:rPr>
      </w:pPr>
      <w:r>
        <w:rPr>
          <w:rFonts w:ascii="宋体" w:hAnsi="宋体"/>
          <w:color w:val="000000"/>
          <w:sz w:val="24"/>
        </w:rPr>
        <w:t>6</w:t>
      </w:r>
      <w:r>
        <w:rPr>
          <w:rFonts w:hint="eastAsia" w:ascii="宋体" w:hAnsi="宋体"/>
          <w:color w:val="000000"/>
          <w:sz w:val="24"/>
        </w:rPr>
        <w:t>、未经允许，中标人不得将建设单位提供的所有项目资料擅自带离现场。</w:t>
      </w:r>
    </w:p>
    <w:p>
      <w:pPr>
        <w:numPr>
          <w:ilvl w:val="0"/>
          <w:numId w:val="2"/>
        </w:numPr>
        <w:tabs>
          <w:tab w:val="left" w:pos="450"/>
        </w:tabs>
        <w:spacing w:line="360" w:lineRule="auto"/>
        <w:ind w:left="448" w:hanging="448"/>
        <w:outlineLvl w:val="1"/>
        <w:rPr>
          <w:b/>
        </w:rPr>
      </w:pPr>
      <w:bookmarkStart w:id="17" w:name="_Toc406932422"/>
      <w:r>
        <w:rPr>
          <w:rFonts w:hint="eastAsia"/>
          <w:b/>
        </w:rPr>
        <w:t>比选范围及</w:t>
      </w:r>
      <w:bookmarkEnd w:id="17"/>
      <w:r>
        <w:rPr>
          <w:rFonts w:hint="eastAsia"/>
          <w:b/>
        </w:rPr>
        <w:t>评分表</w:t>
      </w:r>
    </w:p>
    <w:p>
      <w:pPr>
        <w:pStyle w:val="13"/>
        <w:numPr>
          <w:ilvl w:val="0"/>
          <w:numId w:val="14"/>
        </w:numPr>
        <w:spacing w:line="460" w:lineRule="exact"/>
        <w:rPr>
          <w:rFonts w:ascii="宋体" w:hAnsi="宋体"/>
          <w:color w:val="000000"/>
          <w:sz w:val="24"/>
        </w:rPr>
      </w:pPr>
      <w:bookmarkStart w:id="18" w:name="_Toc299012294"/>
      <w:bookmarkEnd w:id="18"/>
      <w:bookmarkStart w:id="19" w:name="_Toc299012340"/>
      <w:bookmarkEnd w:id="19"/>
      <w:bookmarkStart w:id="20" w:name="_Toc299012248"/>
      <w:bookmarkEnd w:id="20"/>
      <w:bookmarkStart w:id="21" w:name="_Toc299096351"/>
      <w:bookmarkEnd w:id="21"/>
      <w:bookmarkStart w:id="22" w:name="_Toc299096271"/>
      <w:bookmarkEnd w:id="22"/>
      <w:bookmarkStart w:id="23" w:name="_Toc299096407"/>
      <w:bookmarkEnd w:id="23"/>
      <w:r>
        <w:rPr>
          <w:rFonts w:hint="eastAsia" w:ascii="宋体" w:hAnsi="宋体"/>
          <w:color w:val="000000"/>
          <w:sz w:val="24"/>
        </w:rPr>
        <w:t>监理服务价格；</w:t>
      </w:r>
    </w:p>
    <w:p>
      <w:pPr>
        <w:pStyle w:val="13"/>
        <w:numPr>
          <w:ilvl w:val="0"/>
          <w:numId w:val="14"/>
        </w:numPr>
        <w:spacing w:line="460" w:lineRule="exact"/>
        <w:rPr>
          <w:rFonts w:ascii="宋体" w:hAnsi="宋体"/>
          <w:color w:val="000000"/>
          <w:sz w:val="24"/>
        </w:rPr>
      </w:pPr>
      <w:r>
        <w:rPr>
          <w:rFonts w:hint="eastAsia" w:ascii="宋体" w:hAnsi="宋体"/>
          <w:color w:val="000000"/>
          <w:sz w:val="24"/>
        </w:rPr>
        <w:t>投标人资质；</w:t>
      </w:r>
    </w:p>
    <w:p>
      <w:pPr>
        <w:pStyle w:val="13"/>
        <w:numPr>
          <w:ilvl w:val="0"/>
          <w:numId w:val="14"/>
        </w:numPr>
        <w:spacing w:line="460" w:lineRule="exact"/>
        <w:rPr>
          <w:rFonts w:ascii="宋体" w:hAnsi="宋体"/>
          <w:color w:val="000000"/>
          <w:sz w:val="24"/>
        </w:rPr>
      </w:pPr>
      <w:r>
        <w:rPr>
          <w:rFonts w:hint="eastAsia" w:ascii="宋体" w:hAnsi="宋体"/>
          <w:color w:val="000000"/>
          <w:sz w:val="24"/>
        </w:rPr>
        <w:t>投标人行业项目业绩情况；</w:t>
      </w:r>
    </w:p>
    <w:p>
      <w:pPr>
        <w:pStyle w:val="13"/>
        <w:numPr>
          <w:ilvl w:val="0"/>
          <w:numId w:val="14"/>
        </w:numPr>
        <w:spacing w:line="460" w:lineRule="exact"/>
        <w:rPr>
          <w:rFonts w:ascii="宋体" w:hAnsi="宋体"/>
          <w:color w:val="000000"/>
          <w:sz w:val="24"/>
        </w:rPr>
      </w:pPr>
      <w:r>
        <w:rPr>
          <w:rFonts w:hint="eastAsia" w:ascii="宋体" w:hAnsi="宋体"/>
          <w:color w:val="000000"/>
          <w:sz w:val="24"/>
        </w:rPr>
        <w:t>投标人本地化服务能力；</w:t>
      </w:r>
    </w:p>
    <w:p>
      <w:pPr>
        <w:pStyle w:val="13"/>
        <w:numPr>
          <w:ilvl w:val="0"/>
          <w:numId w:val="14"/>
        </w:numPr>
        <w:spacing w:line="460" w:lineRule="exact"/>
        <w:rPr>
          <w:rFonts w:ascii="宋体" w:hAnsi="宋体"/>
          <w:color w:val="000000"/>
          <w:sz w:val="24"/>
        </w:rPr>
      </w:pPr>
      <w:r>
        <w:rPr>
          <w:rFonts w:hint="eastAsia" w:ascii="宋体" w:hAnsi="宋体"/>
          <w:color w:val="000000"/>
          <w:sz w:val="24"/>
        </w:rPr>
        <w:t>投标人机构要求；</w:t>
      </w:r>
    </w:p>
    <w:p>
      <w:pPr>
        <w:pStyle w:val="13"/>
        <w:numPr>
          <w:ilvl w:val="0"/>
          <w:numId w:val="14"/>
        </w:numPr>
        <w:spacing w:line="460" w:lineRule="exact"/>
        <w:rPr>
          <w:rFonts w:ascii="宋体" w:hAnsi="宋体"/>
          <w:color w:val="000000"/>
          <w:sz w:val="24"/>
        </w:rPr>
      </w:pPr>
      <w:r>
        <w:rPr>
          <w:rFonts w:hint="eastAsia" w:ascii="宋体" w:hAnsi="宋体"/>
          <w:color w:val="000000"/>
          <w:sz w:val="24"/>
        </w:rPr>
        <w:t>项目驻场监理能力水平</w:t>
      </w:r>
    </w:p>
    <w:p>
      <w:pPr>
        <w:pStyle w:val="13"/>
        <w:numPr>
          <w:ilvl w:val="0"/>
          <w:numId w:val="14"/>
        </w:numPr>
        <w:spacing w:line="460" w:lineRule="exact"/>
        <w:rPr>
          <w:rFonts w:ascii="宋体" w:hAnsi="宋体"/>
          <w:color w:val="000000"/>
          <w:sz w:val="24"/>
        </w:rPr>
      </w:pPr>
      <w:r>
        <w:rPr>
          <w:rFonts w:hint="eastAsia" w:ascii="宋体" w:hAnsi="宋体"/>
          <w:color w:val="000000"/>
          <w:sz w:val="24"/>
        </w:rPr>
        <w:t>项目总监理工程师能力水平</w:t>
      </w:r>
    </w:p>
    <w:p>
      <w:pPr>
        <w:numPr>
          <w:ilvl w:val="0"/>
          <w:numId w:val="2"/>
        </w:numPr>
        <w:tabs>
          <w:tab w:val="left" w:pos="450"/>
        </w:tabs>
        <w:spacing w:line="420" w:lineRule="auto"/>
        <w:ind w:left="448" w:hanging="448"/>
        <w:outlineLvl w:val="1"/>
        <w:rPr>
          <w:b/>
        </w:rPr>
      </w:pPr>
      <w:bookmarkStart w:id="24" w:name="_Toc406932423"/>
      <w:r>
        <w:rPr>
          <w:rFonts w:hint="eastAsia"/>
          <w:b/>
        </w:rPr>
        <w:t>比选控制价</w:t>
      </w:r>
      <w:bookmarkEnd w:id="24"/>
    </w:p>
    <w:p>
      <w:pPr>
        <w:adjustRightInd w:val="0"/>
        <w:snapToGrid w:val="0"/>
        <w:spacing w:line="300" w:lineRule="auto"/>
        <w:ind w:firstLine="375" w:firstLineChars="200"/>
        <w:rPr>
          <w:b/>
          <w:bCs/>
        </w:rPr>
      </w:pPr>
      <w:r>
        <w:rPr>
          <w:rFonts w:hint="eastAsia"/>
        </w:rPr>
        <w:t>本项目比选控制价：</w:t>
      </w:r>
      <w:r>
        <w:rPr>
          <w:rFonts w:hint="eastAsia"/>
          <w:b/>
          <w:bCs/>
          <w:u w:val="single"/>
        </w:rPr>
        <w:t xml:space="preserve"> 1</w:t>
      </w:r>
      <w:r>
        <w:rPr>
          <w:b/>
          <w:bCs/>
          <w:u w:val="single"/>
        </w:rPr>
        <w:t>0</w:t>
      </w:r>
      <w:r>
        <w:rPr>
          <w:rFonts w:hint="eastAsia"/>
          <w:b/>
          <w:bCs/>
          <w:u w:val="single"/>
        </w:rPr>
        <w:t xml:space="preserve">万 </w:t>
      </w:r>
      <w:r>
        <w:rPr>
          <w:rFonts w:hint="eastAsia"/>
          <w:b/>
          <w:bCs/>
        </w:rPr>
        <w:t>元。</w:t>
      </w:r>
    </w:p>
    <w:p>
      <w:pPr>
        <w:numPr>
          <w:ilvl w:val="0"/>
          <w:numId w:val="2"/>
        </w:numPr>
        <w:tabs>
          <w:tab w:val="left" w:pos="450"/>
        </w:tabs>
        <w:spacing w:line="420" w:lineRule="auto"/>
        <w:ind w:left="448" w:hanging="448"/>
        <w:outlineLvl w:val="1"/>
        <w:rPr>
          <w:b/>
        </w:rPr>
      </w:pPr>
      <w:bookmarkStart w:id="25" w:name="_Toc406932424"/>
      <w:r>
        <w:rPr>
          <w:rFonts w:hint="eastAsia"/>
          <w:b/>
        </w:rPr>
        <w:t>计划工期</w:t>
      </w:r>
      <w:bookmarkEnd w:id="25"/>
    </w:p>
    <w:p>
      <w:pPr>
        <w:adjustRightInd w:val="0"/>
        <w:snapToGrid w:val="0"/>
        <w:spacing w:line="360" w:lineRule="auto"/>
        <w:ind w:firstLine="375" w:firstLineChars="200"/>
      </w:pPr>
      <w:r>
        <w:rPr>
          <w:rFonts w:hint="eastAsia"/>
        </w:rPr>
        <w:t>自公交集团大数据共享与管理平台开始建设起，至平台验收完成止。</w:t>
      </w:r>
    </w:p>
    <w:p>
      <w:pPr>
        <w:numPr>
          <w:ilvl w:val="0"/>
          <w:numId w:val="2"/>
        </w:numPr>
        <w:tabs>
          <w:tab w:val="left" w:pos="450"/>
        </w:tabs>
        <w:spacing w:line="420" w:lineRule="auto"/>
        <w:ind w:left="448" w:hanging="448"/>
        <w:outlineLvl w:val="1"/>
        <w:rPr>
          <w:b/>
        </w:rPr>
      </w:pPr>
      <w:bookmarkStart w:id="26" w:name="_Toc406932425"/>
      <w:r>
        <w:rPr>
          <w:rFonts w:hint="eastAsia"/>
          <w:b/>
        </w:rPr>
        <w:t>报价费用承担</w:t>
      </w:r>
      <w:bookmarkEnd w:id="26"/>
    </w:p>
    <w:p>
      <w:pPr>
        <w:spacing w:line="500" w:lineRule="exact"/>
        <w:ind w:firstLine="375" w:firstLineChars="200"/>
      </w:pPr>
      <w:r>
        <w:rPr>
          <w:rFonts w:hint="eastAsia"/>
        </w:rPr>
        <w:t>报价人准备和参加报价活动发生的费用自理。</w:t>
      </w:r>
    </w:p>
    <w:p>
      <w:pPr>
        <w:numPr>
          <w:ilvl w:val="0"/>
          <w:numId w:val="2"/>
        </w:numPr>
        <w:tabs>
          <w:tab w:val="left" w:pos="450"/>
        </w:tabs>
        <w:spacing w:line="420" w:lineRule="auto"/>
        <w:ind w:left="448" w:hanging="448"/>
        <w:outlineLvl w:val="1"/>
        <w:rPr>
          <w:b/>
        </w:rPr>
      </w:pPr>
      <w:bookmarkStart w:id="27" w:name="_Toc406932426"/>
      <w:r>
        <w:rPr>
          <w:rFonts w:hint="eastAsia"/>
          <w:b/>
        </w:rPr>
        <w:t>现场</w:t>
      </w:r>
      <w:r>
        <w:rPr>
          <w:b/>
        </w:rPr>
        <w:t>勘察</w:t>
      </w:r>
      <w:bookmarkEnd w:id="27"/>
    </w:p>
    <w:p>
      <w:pPr>
        <w:spacing w:line="360" w:lineRule="auto"/>
        <w:ind w:firstLine="375" w:firstLineChars="200"/>
        <w:rPr>
          <w:color w:val="000000"/>
        </w:rPr>
      </w:pPr>
      <w:r>
        <w:rPr>
          <w:rFonts w:hint="eastAsia"/>
          <w:color w:val="000000"/>
        </w:rPr>
        <w:t>本项目无需现场勘察</w:t>
      </w:r>
    </w:p>
    <w:p>
      <w:pPr>
        <w:numPr>
          <w:ilvl w:val="0"/>
          <w:numId w:val="2"/>
        </w:numPr>
        <w:tabs>
          <w:tab w:val="left" w:pos="450"/>
        </w:tabs>
        <w:spacing w:line="420" w:lineRule="auto"/>
        <w:ind w:left="448" w:hanging="448"/>
        <w:outlineLvl w:val="1"/>
        <w:rPr>
          <w:b/>
        </w:rPr>
      </w:pPr>
      <w:bookmarkStart w:id="28" w:name="_Toc406932427"/>
      <w:r>
        <w:rPr>
          <w:rFonts w:hint="eastAsia"/>
          <w:b/>
        </w:rPr>
        <w:t>报价截止时间</w:t>
      </w:r>
      <w:bookmarkEnd w:id="28"/>
    </w:p>
    <w:p>
      <w:pPr>
        <w:spacing w:line="360" w:lineRule="auto"/>
        <w:ind w:left="375" w:leftChars="200"/>
      </w:pPr>
      <w:r>
        <w:rPr>
          <w:rFonts w:hint="eastAsia"/>
        </w:rPr>
        <w:t>截止时间为</w:t>
      </w:r>
      <w:r>
        <w:rPr>
          <w:rFonts w:hint="eastAsia"/>
          <w:u w:val="single"/>
        </w:rPr>
        <w:t xml:space="preserve"> </w:t>
      </w:r>
      <w:r>
        <w:rPr>
          <w:rFonts w:hint="eastAsia"/>
          <w:b/>
          <w:u w:val="single"/>
        </w:rPr>
        <w:t>201</w:t>
      </w:r>
      <w:r>
        <w:rPr>
          <w:b/>
          <w:u w:val="single"/>
        </w:rPr>
        <w:t>9</w:t>
      </w:r>
      <w:r>
        <w:rPr>
          <w:rFonts w:hint="eastAsia"/>
          <w:b/>
        </w:rPr>
        <w:t>年</w:t>
      </w:r>
      <w:r>
        <w:rPr>
          <w:rFonts w:hint="eastAsia"/>
          <w:b/>
          <w:u w:val="single"/>
        </w:rPr>
        <w:t xml:space="preserve"> </w:t>
      </w:r>
      <w:r>
        <w:rPr>
          <w:b/>
          <w:u w:val="single"/>
        </w:rPr>
        <w:t xml:space="preserve">  </w:t>
      </w:r>
      <w:r>
        <w:rPr>
          <w:rFonts w:hint="eastAsia"/>
          <w:b/>
        </w:rPr>
        <w:t>月</w:t>
      </w:r>
      <w:r>
        <w:rPr>
          <w:rFonts w:hint="eastAsia"/>
          <w:b/>
          <w:u w:val="single"/>
        </w:rPr>
        <w:t xml:space="preserve"> </w:t>
      </w:r>
      <w:r>
        <w:rPr>
          <w:b/>
          <w:u w:val="single"/>
        </w:rPr>
        <w:t xml:space="preserve">  </w:t>
      </w:r>
      <w:r>
        <w:rPr>
          <w:rFonts w:hint="eastAsia"/>
          <w:b/>
        </w:rPr>
        <w:t>日</w:t>
      </w:r>
      <w:r>
        <w:rPr>
          <w:rFonts w:hint="eastAsia"/>
        </w:rPr>
        <w:t xml:space="preserve"> </w:t>
      </w:r>
      <w:r>
        <w:rPr>
          <w:u w:val="single"/>
        </w:rPr>
        <w:t xml:space="preserve">        </w:t>
      </w:r>
      <w:r>
        <w:rPr>
          <w:rFonts w:hint="eastAsia"/>
        </w:rPr>
        <w:t>时前。</w:t>
      </w:r>
    </w:p>
    <w:p>
      <w:pPr>
        <w:numPr>
          <w:ilvl w:val="0"/>
          <w:numId w:val="2"/>
        </w:numPr>
        <w:tabs>
          <w:tab w:val="left" w:pos="450"/>
        </w:tabs>
        <w:spacing w:line="420" w:lineRule="auto"/>
        <w:ind w:left="448" w:hanging="448"/>
        <w:outlineLvl w:val="1"/>
        <w:rPr>
          <w:b/>
        </w:rPr>
      </w:pPr>
      <w:bookmarkStart w:id="29" w:name="_Toc406932428"/>
      <w:r>
        <w:rPr>
          <w:rFonts w:hint="eastAsia"/>
          <w:b/>
        </w:rPr>
        <w:t>保密</w:t>
      </w:r>
      <w:bookmarkEnd w:id="29"/>
    </w:p>
    <w:p>
      <w:pPr>
        <w:spacing w:line="360" w:lineRule="auto"/>
        <w:ind w:firstLine="373" w:firstLineChars="199"/>
      </w:pPr>
      <w:r>
        <w:rPr>
          <w:rFonts w:hint="eastAsia"/>
        </w:rPr>
        <w:t>参与比选报价活动的各方均应对于比选过程中获悉的比选人的商业和技术等秘密信息负有保密义务。报价单位的报价书将由比选单位留存并对其核心信息保密，但恕不退还。</w:t>
      </w:r>
    </w:p>
    <w:p>
      <w:pPr>
        <w:numPr>
          <w:ilvl w:val="0"/>
          <w:numId w:val="2"/>
        </w:numPr>
        <w:tabs>
          <w:tab w:val="left" w:pos="450"/>
        </w:tabs>
        <w:spacing w:line="420" w:lineRule="auto"/>
        <w:ind w:left="448" w:hanging="448"/>
        <w:outlineLvl w:val="1"/>
        <w:rPr>
          <w:b/>
        </w:rPr>
      </w:pPr>
      <w:bookmarkStart w:id="30" w:name="_Toc406932429"/>
      <w:r>
        <w:rPr>
          <w:rFonts w:hint="eastAsia"/>
          <w:b/>
        </w:rPr>
        <w:t>比选文件</w:t>
      </w:r>
      <w:bookmarkEnd w:id="30"/>
    </w:p>
    <w:p>
      <w:pPr>
        <w:numPr>
          <w:ilvl w:val="0"/>
          <w:numId w:val="15"/>
        </w:numPr>
        <w:tabs>
          <w:tab w:val="left" w:pos="747"/>
        </w:tabs>
        <w:spacing w:line="300" w:lineRule="auto"/>
      </w:pPr>
      <w:r>
        <w:rPr>
          <w:rFonts w:hint="eastAsia"/>
        </w:rPr>
        <w:t>比选文件的组成</w:t>
      </w:r>
    </w:p>
    <w:p>
      <w:pPr>
        <w:numPr>
          <w:ilvl w:val="2"/>
          <w:numId w:val="15"/>
        </w:numPr>
        <w:tabs>
          <w:tab w:val="left" w:pos="1260"/>
        </w:tabs>
        <w:spacing w:line="300" w:lineRule="auto"/>
      </w:pPr>
      <w:r>
        <w:rPr>
          <w:rFonts w:hint="eastAsia"/>
        </w:rPr>
        <w:t>比选公告；</w:t>
      </w:r>
    </w:p>
    <w:p>
      <w:pPr>
        <w:numPr>
          <w:ilvl w:val="2"/>
          <w:numId w:val="15"/>
        </w:numPr>
        <w:tabs>
          <w:tab w:val="left" w:pos="1260"/>
        </w:tabs>
        <w:spacing w:line="300" w:lineRule="auto"/>
      </w:pPr>
      <w:r>
        <w:rPr>
          <w:rFonts w:hint="eastAsia"/>
        </w:rPr>
        <w:t>报价须知；</w:t>
      </w:r>
    </w:p>
    <w:p>
      <w:pPr>
        <w:numPr>
          <w:ilvl w:val="2"/>
          <w:numId w:val="15"/>
        </w:numPr>
        <w:tabs>
          <w:tab w:val="left" w:pos="1260"/>
        </w:tabs>
        <w:spacing w:line="300" w:lineRule="auto"/>
      </w:pPr>
      <w:r>
        <w:rPr>
          <w:rFonts w:hint="eastAsia"/>
        </w:rPr>
        <w:t>报价文件格式；</w:t>
      </w:r>
    </w:p>
    <w:p>
      <w:pPr>
        <w:numPr>
          <w:ilvl w:val="2"/>
          <w:numId w:val="15"/>
        </w:numPr>
        <w:tabs>
          <w:tab w:val="left" w:pos="1260"/>
        </w:tabs>
        <w:spacing w:line="300" w:lineRule="auto"/>
      </w:pPr>
      <w:r>
        <w:rPr>
          <w:rFonts w:hint="eastAsia"/>
        </w:rPr>
        <w:t>合同条款；</w:t>
      </w:r>
    </w:p>
    <w:p>
      <w:pPr>
        <w:numPr>
          <w:ilvl w:val="2"/>
          <w:numId w:val="15"/>
        </w:numPr>
        <w:tabs>
          <w:tab w:val="left" w:pos="1260"/>
        </w:tabs>
        <w:spacing w:line="300" w:lineRule="auto"/>
      </w:pPr>
      <w:r>
        <w:rPr>
          <w:rFonts w:hint="eastAsia"/>
        </w:rPr>
        <w:t>评审附表；</w:t>
      </w:r>
    </w:p>
    <w:p>
      <w:pPr>
        <w:numPr>
          <w:ilvl w:val="2"/>
          <w:numId w:val="15"/>
        </w:numPr>
        <w:tabs>
          <w:tab w:val="left" w:pos="1260"/>
        </w:tabs>
        <w:spacing w:line="300" w:lineRule="auto"/>
      </w:pPr>
      <w:r>
        <w:rPr>
          <w:rFonts w:hint="eastAsia"/>
        </w:rPr>
        <w:t>其它有关资料。</w:t>
      </w:r>
    </w:p>
    <w:p>
      <w:pPr>
        <w:spacing w:line="360" w:lineRule="auto"/>
        <w:ind w:left="362" w:leftChars="193" w:firstLine="373" w:firstLineChars="199"/>
      </w:pPr>
      <w:r>
        <w:rPr>
          <w:rFonts w:hint="eastAsia"/>
        </w:rPr>
        <w:t>报价人应认真审阅比选文件中所有的报价须知、报价文件格式等内容。如果报价人编制的报价文件，实质上不响应比选文件的要求，其报价文件将被比选人拒绝。</w:t>
      </w:r>
    </w:p>
    <w:p>
      <w:pPr>
        <w:numPr>
          <w:ilvl w:val="0"/>
          <w:numId w:val="15"/>
        </w:numPr>
        <w:tabs>
          <w:tab w:val="left" w:pos="747"/>
        </w:tabs>
        <w:spacing w:line="300" w:lineRule="auto"/>
      </w:pPr>
      <w:r>
        <w:rPr>
          <w:rFonts w:hint="eastAsia"/>
        </w:rPr>
        <w:t>比选文件的解释</w:t>
      </w:r>
    </w:p>
    <w:p>
      <w:pPr>
        <w:spacing w:line="360" w:lineRule="auto"/>
        <w:ind w:firstLine="373" w:firstLineChars="199"/>
      </w:pPr>
      <w:r>
        <w:rPr>
          <w:rFonts w:hint="eastAsia"/>
          <w:b/>
          <w:bCs/>
        </w:rPr>
        <w:t xml:space="preserve">   </w:t>
      </w:r>
      <w:r>
        <w:rPr>
          <w:rFonts w:hint="eastAsia"/>
        </w:rPr>
        <w:t>报价人在收到比选文件后，若有问题需要澄清，应于收到比选文件后</w:t>
      </w:r>
      <w:r>
        <w:rPr>
          <w:rFonts w:hint="eastAsia"/>
          <w:b/>
          <w:u w:val="single"/>
        </w:rPr>
        <w:t>2</w:t>
      </w:r>
      <w:r>
        <w:rPr>
          <w:rFonts w:hint="eastAsia"/>
        </w:rPr>
        <w:t>日内，以书面形式（包括书面文字、传真、电报等，下同）向比选人提出，比选人将以书面形式予以解答，答复将送给所有获得比选文件的报价人。</w:t>
      </w:r>
    </w:p>
    <w:p>
      <w:pPr>
        <w:numPr>
          <w:ilvl w:val="0"/>
          <w:numId w:val="15"/>
        </w:numPr>
        <w:tabs>
          <w:tab w:val="left" w:pos="747"/>
        </w:tabs>
        <w:spacing w:line="300" w:lineRule="auto"/>
      </w:pPr>
      <w:r>
        <w:rPr>
          <w:rFonts w:hint="eastAsia"/>
        </w:rPr>
        <w:t>比选文件的修改</w:t>
      </w:r>
    </w:p>
    <w:p>
      <w:pPr>
        <w:numPr>
          <w:ilvl w:val="0"/>
          <w:numId w:val="16"/>
        </w:numPr>
        <w:tabs>
          <w:tab w:val="left" w:pos="780"/>
        </w:tabs>
        <w:spacing w:line="300" w:lineRule="auto"/>
        <w:ind w:left="0" w:firstLine="375" w:firstLineChars="200"/>
      </w:pPr>
      <w:r>
        <w:rPr>
          <w:rFonts w:hint="eastAsia"/>
        </w:rPr>
        <w:t>报价截止日期前，比选人可能会以补充通知的方式修改比选文件。</w:t>
      </w:r>
    </w:p>
    <w:p>
      <w:pPr>
        <w:numPr>
          <w:ilvl w:val="0"/>
          <w:numId w:val="16"/>
        </w:numPr>
        <w:tabs>
          <w:tab w:val="left" w:pos="780"/>
        </w:tabs>
        <w:spacing w:line="300" w:lineRule="auto"/>
        <w:ind w:left="0" w:firstLine="375" w:firstLineChars="200"/>
      </w:pPr>
      <w:r>
        <w:rPr>
          <w:rFonts w:hint="eastAsia"/>
        </w:rPr>
        <w:t>补充通知将以书面形式通知，作为比选文件的组成部分，对报价人起约束作用。</w:t>
      </w:r>
    </w:p>
    <w:p>
      <w:pPr>
        <w:numPr>
          <w:ilvl w:val="0"/>
          <w:numId w:val="2"/>
        </w:numPr>
        <w:tabs>
          <w:tab w:val="left" w:pos="450"/>
        </w:tabs>
        <w:spacing w:line="420" w:lineRule="auto"/>
        <w:ind w:left="448" w:hanging="448"/>
        <w:outlineLvl w:val="1"/>
        <w:rPr>
          <w:b/>
        </w:rPr>
      </w:pPr>
      <w:bookmarkStart w:id="31" w:name="_Toc406932430"/>
      <w:r>
        <w:rPr>
          <w:rFonts w:hint="eastAsia"/>
          <w:b/>
        </w:rPr>
        <w:t>报价文件</w:t>
      </w:r>
      <w:bookmarkEnd w:id="31"/>
    </w:p>
    <w:p>
      <w:pPr>
        <w:numPr>
          <w:ilvl w:val="0"/>
          <w:numId w:val="17"/>
        </w:numPr>
        <w:tabs>
          <w:tab w:val="left" w:pos="856"/>
        </w:tabs>
        <w:spacing w:line="300" w:lineRule="auto"/>
      </w:pPr>
      <w:r>
        <w:rPr>
          <w:rFonts w:hint="eastAsia"/>
        </w:rPr>
        <w:t>报价说明</w:t>
      </w:r>
    </w:p>
    <w:p>
      <w:pPr>
        <w:numPr>
          <w:ilvl w:val="0"/>
          <w:numId w:val="18"/>
        </w:numPr>
        <w:tabs>
          <w:tab w:val="left" w:pos="780"/>
        </w:tabs>
        <w:spacing w:line="300" w:lineRule="auto"/>
      </w:pPr>
      <w:r>
        <w:rPr>
          <w:rFonts w:hint="eastAsia"/>
        </w:rPr>
        <w:t>报价人所填报的咨询费用以人民币计算。</w:t>
      </w:r>
    </w:p>
    <w:p>
      <w:pPr>
        <w:numPr>
          <w:ilvl w:val="0"/>
          <w:numId w:val="18"/>
        </w:numPr>
        <w:tabs>
          <w:tab w:val="left" w:pos="780"/>
        </w:tabs>
        <w:spacing w:line="300" w:lineRule="auto"/>
        <w:ind w:left="0" w:firstLine="375" w:firstLineChars="200"/>
      </w:pPr>
      <w:r>
        <w:rPr>
          <w:rFonts w:hint="eastAsia"/>
        </w:rPr>
        <w:t>报价金额为各项支付金额的总和，包括完成该项目的成本、利润、税金、保险、技术措施费、风险费、政策性文件规定费用等所有的费用。</w:t>
      </w:r>
    </w:p>
    <w:p>
      <w:pPr>
        <w:numPr>
          <w:ilvl w:val="0"/>
          <w:numId w:val="18"/>
        </w:numPr>
        <w:tabs>
          <w:tab w:val="left" w:pos="780"/>
        </w:tabs>
        <w:spacing w:line="300" w:lineRule="auto"/>
        <w:ind w:left="0" w:firstLine="375" w:firstLineChars="200"/>
      </w:pPr>
      <w:r>
        <w:rPr>
          <w:rFonts w:hint="eastAsia"/>
        </w:rPr>
        <w:t>报价人报价超过本项目的比选控制价为无效报价。</w:t>
      </w:r>
    </w:p>
    <w:p>
      <w:pPr>
        <w:numPr>
          <w:ilvl w:val="0"/>
          <w:numId w:val="17"/>
        </w:numPr>
        <w:tabs>
          <w:tab w:val="left" w:pos="856"/>
        </w:tabs>
        <w:spacing w:line="300" w:lineRule="auto"/>
      </w:pPr>
      <w:r>
        <w:rPr>
          <w:rFonts w:hint="eastAsia"/>
        </w:rPr>
        <w:t>报价文件的编制</w:t>
      </w:r>
    </w:p>
    <w:p>
      <w:pPr>
        <w:numPr>
          <w:ilvl w:val="0"/>
          <w:numId w:val="19"/>
        </w:numPr>
        <w:tabs>
          <w:tab w:val="left" w:pos="780"/>
        </w:tabs>
        <w:spacing w:line="300" w:lineRule="auto"/>
      </w:pPr>
      <w:bookmarkStart w:id="32" w:name="_Toc299096283"/>
      <w:bookmarkEnd w:id="32"/>
      <w:bookmarkStart w:id="33" w:name="_Toc299012260"/>
      <w:bookmarkEnd w:id="33"/>
      <w:bookmarkStart w:id="34" w:name="_Toc299012306"/>
      <w:bookmarkEnd w:id="34"/>
      <w:bookmarkStart w:id="35" w:name="_Toc299012352"/>
      <w:bookmarkEnd w:id="35"/>
      <w:bookmarkStart w:id="36" w:name="_Toc299096363"/>
      <w:bookmarkEnd w:id="36"/>
      <w:bookmarkStart w:id="37" w:name="_Toc299096411"/>
      <w:bookmarkEnd w:id="37"/>
      <w:r>
        <w:rPr>
          <w:rFonts w:hint="eastAsia"/>
        </w:rPr>
        <w:t>报价文件的语言文字：</w:t>
      </w:r>
    </w:p>
    <w:p>
      <w:pPr>
        <w:spacing w:line="300" w:lineRule="auto"/>
        <w:ind w:left="362" w:leftChars="193" w:firstLine="373" w:firstLineChars="199"/>
      </w:pPr>
      <w:r>
        <w:rPr>
          <w:rFonts w:hint="eastAsia"/>
        </w:rPr>
        <w:t>报价文件及报价人与比选人之间与报价有关的来往通知、函件和文件均应使用中文。</w:t>
      </w:r>
    </w:p>
    <w:p>
      <w:pPr>
        <w:numPr>
          <w:ilvl w:val="0"/>
          <w:numId w:val="19"/>
        </w:numPr>
        <w:tabs>
          <w:tab w:val="left" w:pos="780"/>
        </w:tabs>
        <w:spacing w:line="300" w:lineRule="auto"/>
      </w:pPr>
      <w:r>
        <w:rPr>
          <w:rFonts w:hint="eastAsia"/>
          <w:bCs/>
        </w:rPr>
        <w:t>报价文件应包括以下内容</w:t>
      </w:r>
    </w:p>
    <w:p>
      <w:pPr>
        <w:numPr>
          <w:ilvl w:val="0"/>
          <w:numId w:val="20"/>
        </w:numPr>
        <w:tabs>
          <w:tab w:val="left" w:pos="0"/>
          <w:tab w:val="left" w:pos="993"/>
        </w:tabs>
        <w:spacing w:line="300" w:lineRule="auto"/>
        <w:ind w:firstLine="366" w:firstLineChars="195"/>
      </w:pPr>
      <w:r>
        <w:rPr>
          <w:rFonts w:hint="eastAsia"/>
        </w:rPr>
        <w:t>商务文件</w:t>
      </w:r>
    </w:p>
    <w:p>
      <w:pPr>
        <w:spacing w:line="300" w:lineRule="auto"/>
        <w:ind w:left="379" w:leftChars="202" w:firstLine="362" w:firstLineChars="193"/>
      </w:pPr>
      <w:r>
        <w:rPr>
          <w:rFonts w:hint="eastAsia"/>
        </w:rPr>
        <w:t>报价函</w:t>
      </w:r>
    </w:p>
    <w:p>
      <w:pPr>
        <w:spacing w:line="300" w:lineRule="auto"/>
        <w:ind w:left="379" w:leftChars="202" w:firstLine="362" w:firstLineChars="193"/>
      </w:pPr>
      <w:r>
        <w:rPr>
          <w:rFonts w:hint="eastAsia"/>
        </w:rPr>
        <w:t xml:space="preserve">咨询服务费报价清单表          </w:t>
      </w:r>
    </w:p>
    <w:p>
      <w:pPr>
        <w:spacing w:line="300" w:lineRule="auto"/>
        <w:ind w:left="379" w:leftChars="202" w:firstLine="362" w:firstLineChars="193"/>
      </w:pPr>
      <w:r>
        <w:rPr>
          <w:rFonts w:hint="eastAsia"/>
        </w:rPr>
        <w:t>企业法人营业执照、税务登记证</w:t>
      </w:r>
    </w:p>
    <w:p>
      <w:pPr>
        <w:spacing w:line="300" w:lineRule="auto"/>
        <w:ind w:left="379" w:leftChars="202" w:firstLine="362" w:firstLineChars="193"/>
      </w:pPr>
      <w:r>
        <w:rPr>
          <w:rFonts w:hint="eastAsia"/>
        </w:rPr>
        <w:t>法定代表人资格证明书和法定代表人授权委托书</w:t>
      </w:r>
    </w:p>
    <w:p>
      <w:pPr>
        <w:spacing w:line="300" w:lineRule="auto"/>
        <w:ind w:left="379" w:leftChars="202" w:firstLine="362" w:firstLineChars="193"/>
      </w:pPr>
      <w:r>
        <w:rPr>
          <w:rFonts w:hint="eastAsia"/>
        </w:rPr>
        <w:t>资质证书</w:t>
      </w:r>
    </w:p>
    <w:p>
      <w:pPr>
        <w:tabs>
          <w:tab w:val="left" w:pos="993"/>
        </w:tabs>
        <w:spacing w:line="300" w:lineRule="auto"/>
        <w:ind w:left="379" w:leftChars="202" w:firstLine="362" w:firstLineChars="193"/>
        <w:rPr>
          <w:b/>
          <w:bCs/>
        </w:rPr>
      </w:pPr>
      <w:r>
        <w:rPr>
          <w:rFonts w:hint="eastAsia"/>
        </w:rPr>
        <w:t>比选文件规定提交的其它资料</w:t>
      </w:r>
    </w:p>
    <w:p>
      <w:pPr>
        <w:numPr>
          <w:ilvl w:val="0"/>
          <w:numId w:val="20"/>
        </w:numPr>
        <w:tabs>
          <w:tab w:val="left" w:pos="0"/>
          <w:tab w:val="left" w:pos="993"/>
        </w:tabs>
        <w:spacing w:line="300" w:lineRule="auto"/>
        <w:ind w:firstLine="366" w:firstLineChars="195"/>
      </w:pPr>
      <w:r>
        <w:rPr>
          <w:rFonts w:hint="eastAsia"/>
        </w:rPr>
        <w:t>技术文件</w:t>
      </w:r>
    </w:p>
    <w:p>
      <w:pPr>
        <w:tabs>
          <w:tab w:val="left" w:pos="993"/>
        </w:tabs>
        <w:spacing w:line="300" w:lineRule="auto"/>
      </w:pPr>
      <w:r>
        <w:rPr>
          <w:rFonts w:hint="eastAsia"/>
        </w:rPr>
        <w:t xml:space="preserve">         咨询工作方案（包括工作范围、工作内容和成果文件大纲）</w:t>
      </w:r>
    </w:p>
    <w:p>
      <w:pPr>
        <w:tabs>
          <w:tab w:val="left" w:pos="993"/>
        </w:tabs>
        <w:spacing w:line="300" w:lineRule="auto"/>
        <w:ind w:firstLine="842" w:firstLineChars="449"/>
        <w:rPr>
          <w:b/>
          <w:bCs/>
        </w:rPr>
      </w:pPr>
      <w:r>
        <w:rPr>
          <w:rFonts w:hint="eastAsia"/>
        </w:rPr>
        <w:t>比选文件规定提交的其他资料</w:t>
      </w:r>
    </w:p>
    <w:p>
      <w:pPr>
        <w:numPr>
          <w:ilvl w:val="0"/>
          <w:numId w:val="17"/>
        </w:numPr>
        <w:tabs>
          <w:tab w:val="left" w:pos="856"/>
          <w:tab w:val="left" w:pos="993"/>
        </w:tabs>
        <w:spacing w:line="300" w:lineRule="auto"/>
      </w:pPr>
      <w:r>
        <w:rPr>
          <w:rFonts w:hint="eastAsia"/>
        </w:rPr>
        <w:t>报价文件的份数和签署</w:t>
      </w:r>
    </w:p>
    <w:p>
      <w:pPr>
        <w:numPr>
          <w:ilvl w:val="0"/>
          <w:numId w:val="21"/>
        </w:numPr>
        <w:tabs>
          <w:tab w:val="left" w:pos="780"/>
        </w:tabs>
        <w:spacing w:line="300" w:lineRule="auto"/>
        <w:ind w:left="0" w:firstLine="375" w:firstLineChars="200"/>
      </w:pPr>
      <w:r>
        <w:rPr>
          <w:rFonts w:hint="eastAsia"/>
        </w:rPr>
        <w:t>报价人按本须知第十四条的规定，编制一份报价文件“正本”和二份“副本”，并明确标明“报价文件正本”和“报价文件副本”。报价文件正本和副本如有不一致之处，以正本为准。</w:t>
      </w:r>
    </w:p>
    <w:p>
      <w:pPr>
        <w:numPr>
          <w:ilvl w:val="0"/>
          <w:numId w:val="21"/>
        </w:numPr>
        <w:tabs>
          <w:tab w:val="left" w:pos="780"/>
        </w:tabs>
        <w:spacing w:line="300" w:lineRule="auto"/>
        <w:ind w:left="0" w:firstLine="375" w:firstLineChars="200"/>
      </w:pPr>
      <w:r>
        <w:rPr>
          <w:rFonts w:hint="eastAsia"/>
        </w:rPr>
        <w:t>报价文件正本与副本均应使用不能擦去的墨水书写或打印，由法定代表人或其委托代理人签署并加盖法人单位公章和法定代表人或其委托代理人印鉴。</w:t>
      </w:r>
    </w:p>
    <w:p>
      <w:pPr>
        <w:numPr>
          <w:ilvl w:val="0"/>
          <w:numId w:val="21"/>
        </w:numPr>
        <w:tabs>
          <w:tab w:val="left" w:pos="780"/>
        </w:tabs>
        <w:spacing w:line="300" w:lineRule="auto"/>
        <w:ind w:left="0" w:firstLine="375" w:firstLineChars="200"/>
      </w:pPr>
      <w:r>
        <w:rPr>
          <w:rFonts w:hint="eastAsia"/>
        </w:rPr>
        <w:t>全套报价文件应无涂改和行间插字，除非这些删改是根据比选人指示进行的或者报价人造成的必须修正的错误。但修改处应由报价文件签字人签字证明或加盖单位印鉴，否则无效。</w:t>
      </w:r>
    </w:p>
    <w:p>
      <w:pPr>
        <w:numPr>
          <w:ilvl w:val="0"/>
          <w:numId w:val="17"/>
        </w:numPr>
        <w:tabs>
          <w:tab w:val="left" w:pos="856"/>
          <w:tab w:val="left" w:pos="993"/>
        </w:tabs>
        <w:spacing w:line="300" w:lineRule="auto"/>
      </w:pPr>
      <w:r>
        <w:rPr>
          <w:rFonts w:hint="eastAsia"/>
        </w:rPr>
        <w:t>报价文件密封、装订、标志与递交</w:t>
      </w:r>
    </w:p>
    <w:p>
      <w:pPr>
        <w:numPr>
          <w:ilvl w:val="0"/>
          <w:numId w:val="22"/>
        </w:numPr>
        <w:tabs>
          <w:tab w:val="left" w:pos="780"/>
        </w:tabs>
        <w:spacing w:line="300" w:lineRule="auto"/>
        <w:ind w:left="0" w:firstLine="375" w:firstLineChars="200"/>
      </w:pPr>
      <w:r>
        <w:rPr>
          <w:rFonts w:hint="eastAsia"/>
        </w:rPr>
        <w:t>报价人应将报价文件的正本和副本分别密封在内层包封内，再密封在同一个外层包封中，并在内包上标明“报价文件正本”或“报价文件副本”。</w:t>
      </w:r>
    </w:p>
    <w:p>
      <w:pPr>
        <w:numPr>
          <w:ilvl w:val="0"/>
          <w:numId w:val="22"/>
        </w:numPr>
        <w:tabs>
          <w:tab w:val="left" w:pos="780"/>
        </w:tabs>
        <w:spacing w:line="300" w:lineRule="auto"/>
        <w:ind w:left="0" w:firstLine="375" w:firstLineChars="200"/>
      </w:pPr>
      <w:r>
        <w:rPr>
          <w:rFonts w:hint="eastAsia"/>
        </w:rPr>
        <w:t>内层和外层包封都应写明比选人名称和地址、项目名称。</w:t>
      </w:r>
    </w:p>
    <w:p>
      <w:pPr>
        <w:numPr>
          <w:ilvl w:val="0"/>
          <w:numId w:val="22"/>
        </w:numPr>
        <w:tabs>
          <w:tab w:val="left" w:pos="780"/>
        </w:tabs>
        <w:spacing w:line="300" w:lineRule="auto"/>
        <w:ind w:left="0" w:firstLine="375" w:firstLineChars="200"/>
      </w:pPr>
      <w:r>
        <w:rPr>
          <w:rFonts w:hint="eastAsia"/>
        </w:rPr>
        <w:t>如果内、外包封没有按上述规定密封，装订并加以标志，比选人将不承担文件错放或提前开封的责任，由此造成的提前开封的报价文件将予以拒绝，并退还给报价人。</w:t>
      </w:r>
    </w:p>
    <w:p>
      <w:pPr>
        <w:numPr>
          <w:ilvl w:val="0"/>
          <w:numId w:val="22"/>
        </w:numPr>
        <w:tabs>
          <w:tab w:val="left" w:pos="780"/>
        </w:tabs>
        <w:spacing w:line="300" w:lineRule="auto"/>
        <w:ind w:left="0" w:firstLine="375" w:firstLineChars="200"/>
      </w:pPr>
      <w:r>
        <w:rPr>
          <w:rFonts w:hint="eastAsia"/>
        </w:rPr>
        <w:t>报价人必须在本须知第十一条规定的报价截止时间前，将报价文件送到</w:t>
      </w:r>
      <w:r>
        <w:rPr>
          <w:rFonts w:hint="eastAsia"/>
          <w:u w:val="single"/>
        </w:rPr>
        <w:t>越秀区东园横路60号公交集团有限公司</w:t>
      </w:r>
      <w:r>
        <w:rPr>
          <w:u w:val="single"/>
        </w:rPr>
        <w:t>205</w:t>
      </w:r>
      <w:r>
        <w:rPr>
          <w:rFonts w:hint="eastAsia"/>
          <w:u w:val="single"/>
        </w:rPr>
        <w:t>办公室</w:t>
      </w:r>
      <w:r>
        <w:rPr>
          <w:rFonts w:hint="eastAsia"/>
        </w:rPr>
        <w:t>签收，凡逾期送达的报价文件将被视为无效的报价文件处理。</w:t>
      </w:r>
    </w:p>
    <w:p>
      <w:pPr>
        <w:spacing w:line="300" w:lineRule="auto"/>
        <w:ind w:left="435"/>
      </w:pPr>
      <w:r>
        <w:rPr>
          <w:rFonts w:hint="eastAsia"/>
        </w:rPr>
        <w:t>联系人：林先生；电话：（0</w:t>
      </w:r>
      <w:r>
        <w:t>20</w:t>
      </w:r>
      <w:r>
        <w:rPr>
          <w:rFonts w:hint="eastAsia"/>
        </w:rPr>
        <w:t>）8</w:t>
      </w:r>
      <w:r>
        <w:t>3525931</w:t>
      </w:r>
    </w:p>
    <w:p>
      <w:pPr>
        <w:numPr>
          <w:ilvl w:val="0"/>
          <w:numId w:val="17"/>
        </w:numPr>
        <w:tabs>
          <w:tab w:val="left" w:pos="856"/>
          <w:tab w:val="left" w:pos="993"/>
        </w:tabs>
        <w:spacing w:line="300" w:lineRule="auto"/>
      </w:pPr>
      <w:r>
        <w:rPr>
          <w:rFonts w:hint="eastAsia"/>
        </w:rPr>
        <w:t>报价文件的修改和撤回</w:t>
      </w:r>
    </w:p>
    <w:p>
      <w:pPr>
        <w:spacing w:line="300" w:lineRule="auto"/>
        <w:ind w:firstLine="375" w:firstLineChars="200"/>
      </w:pPr>
      <w:r>
        <w:rPr>
          <w:rFonts w:hint="eastAsia"/>
        </w:rPr>
        <w:t>报价方在递交报价文件后，在报价截止时间前，可对报价文件以书面形式进行修改或撤销，修改通知须加盖公章并有法定代表人或授权代表的签字，报价截止时间后，不可修改或撤回报价文件。</w:t>
      </w:r>
    </w:p>
    <w:p>
      <w:pPr>
        <w:numPr>
          <w:ilvl w:val="0"/>
          <w:numId w:val="2"/>
        </w:numPr>
        <w:tabs>
          <w:tab w:val="left" w:pos="450"/>
        </w:tabs>
        <w:spacing w:line="420" w:lineRule="auto"/>
        <w:ind w:left="448" w:hanging="448"/>
        <w:outlineLvl w:val="1"/>
        <w:rPr>
          <w:b/>
          <w:bCs/>
        </w:rPr>
      </w:pPr>
      <w:bookmarkStart w:id="38" w:name="_Toc406932431"/>
      <w:r>
        <w:rPr>
          <w:rFonts w:hint="eastAsia"/>
          <w:b/>
          <w:bCs/>
        </w:rPr>
        <w:t>开标</w:t>
      </w:r>
      <w:bookmarkEnd w:id="38"/>
    </w:p>
    <w:p>
      <w:pPr>
        <w:numPr>
          <w:ilvl w:val="0"/>
          <w:numId w:val="23"/>
        </w:numPr>
        <w:tabs>
          <w:tab w:val="left" w:pos="780"/>
        </w:tabs>
        <w:spacing w:line="300" w:lineRule="auto"/>
        <w:ind w:left="0" w:firstLine="375" w:firstLineChars="200"/>
      </w:pPr>
      <w:r>
        <w:rPr>
          <w:rFonts w:hint="eastAsia"/>
        </w:rPr>
        <w:t>比选人将于</w:t>
      </w:r>
      <w:r>
        <w:rPr>
          <w:rFonts w:hint="eastAsia"/>
          <w:u w:val="single"/>
        </w:rPr>
        <w:t xml:space="preserve"> 201</w:t>
      </w:r>
      <w:r>
        <w:rPr>
          <w:u w:val="single"/>
        </w:rPr>
        <w:t>9</w:t>
      </w:r>
      <w:r>
        <w:rPr>
          <w:rFonts w:hint="eastAsia"/>
          <w:u w:val="single"/>
        </w:rPr>
        <w:t xml:space="preserve"> </w:t>
      </w:r>
      <w:r>
        <w:rPr>
          <w:rFonts w:hint="eastAsia"/>
        </w:rPr>
        <w:t>年</w:t>
      </w:r>
      <w:r>
        <w:rPr>
          <w:rFonts w:hint="eastAsia"/>
          <w:u w:val="single"/>
        </w:rPr>
        <w:t xml:space="preserve"> </w:t>
      </w:r>
      <w:r>
        <w:rPr>
          <w:u w:val="single"/>
        </w:rPr>
        <w:t xml:space="preserve">  </w:t>
      </w:r>
      <w:r>
        <w:rPr>
          <w:rFonts w:hint="eastAsia"/>
        </w:rPr>
        <w:t>月</w:t>
      </w:r>
      <w:r>
        <w:rPr>
          <w:u w:val="single"/>
        </w:rPr>
        <w:t xml:space="preserve">   </w:t>
      </w:r>
      <w:r>
        <w:rPr>
          <w:rFonts w:hint="eastAsia"/>
        </w:rPr>
        <w:t>日</w:t>
      </w:r>
      <w:r>
        <w:rPr>
          <w:rFonts w:hint="eastAsia"/>
          <w:u w:val="single"/>
        </w:rPr>
        <w:t xml:space="preserve"> </w:t>
      </w:r>
      <w:r>
        <w:rPr>
          <w:u w:val="single"/>
        </w:rPr>
        <w:t xml:space="preserve">     </w:t>
      </w:r>
      <w:r>
        <w:rPr>
          <w:rFonts w:hint="eastAsia"/>
        </w:rPr>
        <w:t>时在</w:t>
      </w:r>
      <w:r>
        <w:rPr>
          <w:rFonts w:hint="eastAsia"/>
          <w:u w:val="single"/>
        </w:rPr>
        <w:t xml:space="preserve">越秀区东园横路60号 </w:t>
      </w:r>
      <w:r>
        <w:rPr>
          <w:u w:val="single"/>
        </w:rPr>
        <w:t xml:space="preserve">   </w:t>
      </w:r>
      <w:r>
        <w:rPr>
          <w:rFonts w:hint="eastAsia"/>
          <w:u w:val="single"/>
        </w:rPr>
        <w:t>会议室</w:t>
      </w:r>
      <w:r>
        <w:rPr>
          <w:rFonts w:hint="eastAsia"/>
        </w:rPr>
        <w:t>开标。开标时，报价人</w:t>
      </w:r>
      <w:r>
        <w:t>应委派法定代表人或授权代表参加开标活动。如是法定代表人参加，请持本人身份证签名报到，并提交加盖公章的身份证复印件一份；如是授权代表参加，请持本人身份证签名报到，并提交《法定代表人授权书》，以及加盖公章的本人和法定代表人身份证复印件各一份。</w:t>
      </w:r>
    </w:p>
    <w:p>
      <w:pPr>
        <w:numPr>
          <w:ilvl w:val="0"/>
          <w:numId w:val="23"/>
        </w:numPr>
        <w:tabs>
          <w:tab w:val="left" w:pos="780"/>
        </w:tabs>
        <w:spacing w:line="300" w:lineRule="auto"/>
        <w:ind w:left="0" w:firstLine="375" w:firstLineChars="200"/>
      </w:pPr>
      <w:r>
        <w:rPr>
          <w:rFonts w:hint="eastAsia"/>
        </w:rPr>
        <w:t>开标由比选人主持，邀请纪律检查与监督部门派员参加。</w:t>
      </w:r>
      <w:r>
        <w:t>比选人查验报价文件（正本和副本）密封情况，确认无误后拆封正本后唱标，当众宣读报价人名称、报价价格及比选人认为合适的其他内容。</w:t>
      </w:r>
    </w:p>
    <w:p>
      <w:pPr>
        <w:numPr>
          <w:ilvl w:val="0"/>
          <w:numId w:val="23"/>
        </w:numPr>
        <w:tabs>
          <w:tab w:val="left" w:pos="780"/>
        </w:tabs>
        <w:spacing w:line="300" w:lineRule="auto"/>
        <w:ind w:left="0" w:firstLine="375" w:firstLineChars="200"/>
      </w:pPr>
      <w:r>
        <w:rPr>
          <w:rFonts w:hint="eastAsia"/>
        </w:rPr>
        <w:t>报价人应委派授权代理人准时出席，在开标时检查报价文件，确认开标结果，并在开标记录上签字。</w:t>
      </w:r>
      <w:r>
        <w:t>但</w:t>
      </w:r>
      <w:r>
        <w:rPr>
          <w:rFonts w:hint="eastAsia"/>
        </w:rPr>
        <w:t>报价</w:t>
      </w:r>
      <w:r>
        <w:t>未</w:t>
      </w:r>
      <w:r>
        <w:rPr>
          <w:rFonts w:hint="eastAsia"/>
        </w:rPr>
        <w:t>在开标记录上</w:t>
      </w:r>
      <w:r>
        <w:t>签字并不影响开标记录的有效性。</w:t>
      </w:r>
    </w:p>
    <w:p>
      <w:pPr>
        <w:numPr>
          <w:ilvl w:val="0"/>
          <w:numId w:val="23"/>
        </w:numPr>
        <w:tabs>
          <w:tab w:val="left" w:pos="780"/>
        </w:tabs>
        <w:spacing w:line="300" w:lineRule="auto"/>
        <w:ind w:left="0" w:firstLine="375" w:firstLineChars="200"/>
      </w:pPr>
      <w:r>
        <w:rPr>
          <w:rFonts w:hint="eastAsia"/>
        </w:rPr>
        <w:t>按十四之（五）条款撤回的报价文件不予开标。在报价截止时间之后收到的报价文件，将不予开标，原封退还给报价人。</w:t>
      </w:r>
    </w:p>
    <w:p>
      <w:pPr>
        <w:numPr>
          <w:ilvl w:val="0"/>
          <w:numId w:val="23"/>
        </w:numPr>
        <w:tabs>
          <w:tab w:val="left" w:pos="780"/>
        </w:tabs>
        <w:spacing w:line="300" w:lineRule="auto"/>
        <w:ind w:left="0" w:firstLine="375" w:firstLineChars="200"/>
      </w:pPr>
      <w:r>
        <w:rPr>
          <w:rFonts w:hint="eastAsia"/>
        </w:rPr>
        <w:t>评审</w:t>
      </w:r>
      <w:r>
        <w:t>中若出现下列情况之一，比选人有权认定报价无效或否决其报价</w:t>
      </w:r>
      <w:r>
        <w:rPr>
          <w:rFonts w:hint="eastAsia"/>
        </w:rPr>
        <w:t>：</w:t>
      </w:r>
    </w:p>
    <w:p>
      <w:pPr>
        <w:spacing w:line="480" w:lineRule="exact"/>
        <w:ind w:firstLine="375" w:firstLineChars="200"/>
      </w:pPr>
      <w:r>
        <w:rPr>
          <w:rFonts w:hint="eastAsia"/>
        </w:rPr>
        <w:t>（1）报价书没有密封；</w:t>
      </w:r>
    </w:p>
    <w:p>
      <w:pPr>
        <w:spacing w:line="480" w:lineRule="exact"/>
        <w:ind w:firstLine="375" w:firstLineChars="200"/>
      </w:pPr>
      <w:r>
        <w:rPr>
          <w:rFonts w:hint="eastAsia"/>
        </w:rPr>
        <w:t>（2）报价文件字迹模糊，辩认不清；</w:t>
      </w:r>
    </w:p>
    <w:p>
      <w:pPr>
        <w:spacing w:line="480" w:lineRule="exact"/>
        <w:ind w:firstLine="375" w:firstLineChars="200"/>
      </w:pPr>
      <w:r>
        <w:rPr>
          <w:rFonts w:hint="eastAsia"/>
        </w:rPr>
        <w:t>（3）报价文件没有法定代表人或没有授权委托人的有效签</w:t>
      </w:r>
      <w:r>
        <w:rPr>
          <w:rFonts w:hint="eastAsia" w:cs="宋体"/>
          <w:kern w:val="0"/>
          <w:szCs w:val="21"/>
        </w:rPr>
        <w:t>署</w:t>
      </w:r>
      <w:r>
        <w:rPr>
          <w:rFonts w:hint="eastAsia"/>
        </w:rPr>
        <w:t>；</w:t>
      </w:r>
    </w:p>
    <w:p>
      <w:pPr>
        <w:spacing w:line="300" w:lineRule="auto"/>
        <w:ind w:left="375" w:leftChars="200"/>
      </w:pPr>
      <w:r>
        <w:rPr>
          <w:rFonts w:hint="eastAsia"/>
        </w:rPr>
        <w:t>（4）报价人“一标两投”，或有两个以上不同报价；</w:t>
      </w:r>
    </w:p>
    <w:p>
      <w:pPr>
        <w:spacing w:line="300" w:lineRule="auto"/>
        <w:ind w:left="375" w:leftChars="200"/>
      </w:pPr>
      <w:r>
        <w:rPr>
          <w:rFonts w:hint="eastAsia"/>
        </w:rPr>
        <w:t>（5）在报价过程中，违反比选管理规定，使用不正当的手段报价及其他严重违反比选规定的情况。</w:t>
      </w:r>
    </w:p>
    <w:p>
      <w:pPr>
        <w:numPr>
          <w:ilvl w:val="0"/>
          <w:numId w:val="2"/>
        </w:numPr>
        <w:tabs>
          <w:tab w:val="left" w:pos="450"/>
        </w:tabs>
        <w:spacing w:line="420" w:lineRule="auto"/>
        <w:ind w:left="448" w:hanging="448"/>
        <w:outlineLvl w:val="1"/>
        <w:rPr>
          <w:b/>
          <w:bCs/>
        </w:rPr>
      </w:pPr>
      <w:r>
        <w:rPr>
          <w:rFonts w:hint="eastAsia"/>
          <w:b/>
          <w:bCs/>
        </w:rPr>
        <w:t>评审</w:t>
      </w:r>
    </w:p>
    <w:p>
      <w:pPr>
        <w:numPr>
          <w:ilvl w:val="0"/>
          <w:numId w:val="24"/>
        </w:numPr>
        <w:tabs>
          <w:tab w:val="left" w:pos="780"/>
        </w:tabs>
        <w:spacing w:line="300" w:lineRule="auto"/>
        <w:ind w:left="0" w:firstLine="375" w:firstLineChars="200"/>
      </w:pPr>
      <w:r>
        <w:rPr>
          <w:rFonts w:hint="eastAsia"/>
        </w:rPr>
        <w:t>评审原则：</w:t>
      </w:r>
      <w:r>
        <w:t>公开、公平和公正</w:t>
      </w:r>
      <w:r>
        <w:rPr>
          <w:rFonts w:hint="eastAsia"/>
        </w:rPr>
        <w:t>为评审原则，</w:t>
      </w:r>
      <w:r>
        <w:t>评审工作</w:t>
      </w:r>
      <w:r>
        <w:rPr>
          <w:rFonts w:hint="eastAsia"/>
        </w:rPr>
        <w:t>应</w:t>
      </w:r>
      <w:r>
        <w:t>规范化、标准化、科学化，选择有经验、有实力、社会信誉好的单位承担本项目任务</w:t>
      </w:r>
      <w:r>
        <w:rPr>
          <w:rFonts w:hint="eastAsia"/>
        </w:rPr>
        <w:t>。</w:t>
      </w:r>
    </w:p>
    <w:p>
      <w:pPr>
        <w:numPr>
          <w:ilvl w:val="0"/>
          <w:numId w:val="24"/>
        </w:numPr>
        <w:tabs>
          <w:tab w:val="left" w:pos="780"/>
        </w:tabs>
        <w:spacing w:line="300" w:lineRule="auto"/>
        <w:ind w:left="0" w:firstLine="375" w:firstLineChars="200"/>
      </w:pPr>
      <w:r>
        <w:rPr>
          <w:rFonts w:hint="eastAsia"/>
        </w:rPr>
        <w:t>评审办法：本项目采用综合评分法进行评分，综合评分值最高的报价人为本项目成交人。</w:t>
      </w:r>
    </w:p>
    <w:p>
      <w:pPr>
        <w:spacing w:line="300" w:lineRule="auto"/>
        <w:ind w:firstLine="413" w:firstLineChars="220"/>
      </w:pPr>
      <w:r>
        <w:rPr>
          <w:rFonts w:hint="eastAsia"/>
        </w:rPr>
        <w:t xml:space="preserve">综合评分的主要内容和分值范围如下： </w:t>
      </w:r>
    </w:p>
    <w:tbl>
      <w:tblPr>
        <w:tblStyle w:val="9"/>
        <w:tblW w:w="920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115"/>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trPr>
        <w:tc>
          <w:tcPr>
            <w:tcW w:w="9209" w:type="dxa"/>
            <w:gridSpan w:val="3"/>
            <w:shd w:val="clear" w:color="auto" w:fill="auto"/>
            <w:vAlign w:val="center"/>
          </w:tcPr>
          <w:p>
            <w:pPr>
              <w:spacing w:line="400" w:lineRule="exact"/>
              <w:jc w:val="right"/>
            </w:pPr>
            <w:r>
              <w:rPr>
                <w:rFonts w:hint="eastAsia"/>
              </w:rPr>
              <w:t>满分：1</w:t>
            </w:r>
            <w:r>
              <w:t>00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2093" w:type="dxa"/>
            <w:shd w:val="clear" w:color="auto" w:fill="auto"/>
            <w:vAlign w:val="center"/>
          </w:tcPr>
          <w:p>
            <w:pPr>
              <w:spacing w:line="400" w:lineRule="exact"/>
              <w:jc w:val="center"/>
              <w:rPr>
                <w:b/>
              </w:rPr>
            </w:pPr>
            <w:r>
              <w:rPr>
                <w:rFonts w:hint="eastAsia"/>
                <w:b/>
              </w:rPr>
              <w:t>项目</w:t>
            </w:r>
          </w:p>
        </w:tc>
        <w:tc>
          <w:tcPr>
            <w:tcW w:w="6115" w:type="dxa"/>
            <w:shd w:val="clear" w:color="auto" w:fill="auto"/>
            <w:vAlign w:val="center"/>
          </w:tcPr>
          <w:p>
            <w:pPr>
              <w:spacing w:line="400" w:lineRule="exact"/>
              <w:jc w:val="center"/>
              <w:rPr>
                <w:b/>
              </w:rPr>
            </w:pPr>
            <w:r>
              <w:rPr>
                <w:rFonts w:hint="eastAsia"/>
                <w:b/>
              </w:rPr>
              <w:t>内容</w:t>
            </w:r>
          </w:p>
        </w:tc>
        <w:tc>
          <w:tcPr>
            <w:tcW w:w="1001" w:type="dxa"/>
            <w:shd w:val="clear" w:color="auto" w:fill="auto"/>
            <w:vAlign w:val="center"/>
          </w:tcPr>
          <w:p>
            <w:pPr>
              <w:spacing w:line="400" w:lineRule="exact"/>
              <w:jc w:val="center"/>
              <w:rPr>
                <w:b/>
              </w:rPr>
            </w:pPr>
            <w:r>
              <w:rPr>
                <w:rFonts w:hint="eastAsia"/>
                <w:b/>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hint="eastAsia"/>
              </w:rPr>
              <w:t>监理服务价格</w:t>
            </w:r>
          </w:p>
        </w:tc>
        <w:tc>
          <w:tcPr>
            <w:tcW w:w="6115" w:type="dxa"/>
            <w:shd w:val="clear" w:color="auto" w:fill="auto"/>
            <w:vAlign w:val="center"/>
          </w:tcPr>
          <w:p>
            <w:pPr>
              <w:spacing w:line="400" w:lineRule="exact"/>
            </w:pPr>
            <w:r>
              <w:rPr>
                <w:rFonts w:hint="eastAsia"/>
              </w:rPr>
              <w:t>取报价最低价的</w:t>
            </w:r>
            <w:r>
              <w:t>100%作为评标基准价格；</w:t>
            </w:r>
            <w:r>
              <w:rPr>
                <w:rFonts w:hint="eastAsia"/>
              </w:rPr>
              <w:t>等于基准价格的投标报价定为</w:t>
            </w:r>
            <w:r>
              <w:t>20分，高于基准价格的评标价格则按其比例，每高于10％减2分</w:t>
            </w:r>
            <w:r>
              <w:rPr>
                <w:rFonts w:hint="eastAsia"/>
              </w:rPr>
              <w:t>，最低0分；</w:t>
            </w:r>
            <w:r>
              <w:t>如此类推，算出所有投标人的价格评分。</w:t>
            </w:r>
          </w:p>
        </w:tc>
        <w:tc>
          <w:tcPr>
            <w:tcW w:w="1001" w:type="dxa"/>
            <w:shd w:val="clear" w:color="auto" w:fill="auto"/>
            <w:vAlign w:val="center"/>
          </w:tcPr>
          <w:p>
            <w:pPr>
              <w:spacing w:line="400" w:lineRule="exact"/>
            </w:pPr>
            <w:r>
              <w:t>20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hint="eastAsia"/>
              </w:rPr>
              <w:t>投标人资质</w:t>
            </w:r>
          </w:p>
        </w:tc>
        <w:tc>
          <w:tcPr>
            <w:tcW w:w="6115" w:type="dxa"/>
            <w:shd w:val="clear" w:color="auto" w:fill="auto"/>
            <w:vAlign w:val="center"/>
          </w:tcPr>
          <w:p>
            <w:pPr>
              <w:spacing w:line="400" w:lineRule="exact"/>
            </w:pPr>
            <w:r>
              <w:rPr>
                <w:rFonts w:hint="eastAsia"/>
              </w:rPr>
              <w:t>具有中国电子企业协会颁发的信息系统工程监理单位证书，甲级得5</w:t>
            </w:r>
            <w:r>
              <w:t>分，乙级得</w:t>
            </w:r>
            <w:r>
              <w:rPr>
                <w:rFonts w:hint="eastAsia"/>
              </w:rPr>
              <w:t>3</w:t>
            </w:r>
            <w:r>
              <w:t>分，丙级得1分；</w:t>
            </w:r>
          </w:p>
        </w:tc>
        <w:tc>
          <w:tcPr>
            <w:tcW w:w="1001" w:type="dxa"/>
            <w:shd w:val="clear" w:color="auto" w:fill="auto"/>
            <w:vAlign w:val="center"/>
          </w:tcPr>
          <w:p>
            <w:pPr>
              <w:spacing w:line="400" w:lineRule="exact"/>
            </w:pPr>
            <w:r>
              <w:rPr>
                <w:rFonts w:hint="eastAsia"/>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hint="eastAsia" w:cs="宋体"/>
              </w:rPr>
              <w:t>投标人</w:t>
            </w:r>
            <w:r>
              <w:rPr>
                <w:rFonts w:cs="宋体"/>
              </w:rPr>
              <w:t>行业项目业绩情况</w:t>
            </w:r>
          </w:p>
        </w:tc>
        <w:tc>
          <w:tcPr>
            <w:tcW w:w="6115" w:type="dxa"/>
            <w:shd w:val="clear" w:color="auto" w:fill="auto"/>
            <w:vAlign w:val="center"/>
          </w:tcPr>
          <w:p>
            <w:pPr>
              <w:spacing w:line="400" w:lineRule="exact"/>
            </w:pPr>
            <w:r>
              <w:rPr>
                <w:rFonts w:cs="宋体"/>
              </w:rPr>
              <w:t>2016年以来独立承担的项目业绩情况：具有</w:t>
            </w:r>
            <w:r>
              <w:rPr>
                <w:rFonts w:hint="eastAsia"/>
              </w:rPr>
              <w:t>大数据项目</w:t>
            </w:r>
            <w:r>
              <w:rPr>
                <w:rFonts w:cs="宋体"/>
              </w:rPr>
              <w:t>监理案例</w:t>
            </w:r>
            <w:r>
              <w:rPr>
                <w:rFonts w:hint="eastAsia" w:cs="宋体"/>
              </w:rPr>
              <w:t>：</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项目建设规模4</w:t>
            </w:r>
            <w:r>
              <w:rPr>
                <w:rFonts w:ascii="宋体" w:hAnsi="宋体" w:eastAsia="宋体"/>
                <w:sz w:val="24"/>
                <w:szCs w:val="24"/>
              </w:rPr>
              <w:t>00</w:t>
            </w:r>
            <w:r>
              <w:rPr>
                <w:rFonts w:hint="eastAsia" w:ascii="宋体" w:hAnsi="宋体" w:eastAsia="宋体"/>
                <w:sz w:val="24"/>
                <w:szCs w:val="24"/>
              </w:rPr>
              <w:t>万（含）以上，每个2分；</w:t>
            </w:r>
            <w:r>
              <w:rPr>
                <w:rFonts w:ascii="宋体" w:hAnsi="宋体" w:eastAsia="宋体"/>
                <w:sz w:val="24"/>
                <w:szCs w:val="24"/>
              </w:rPr>
              <w:t xml:space="preserve"> </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项目建设规模3</w:t>
            </w:r>
            <w:r>
              <w:rPr>
                <w:rFonts w:ascii="宋体" w:hAnsi="宋体" w:eastAsia="宋体"/>
                <w:sz w:val="24"/>
                <w:szCs w:val="24"/>
              </w:rPr>
              <w:t>00</w:t>
            </w:r>
            <w:r>
              <w:rPr>
                <w:rFonts w:hint="eastAsia" w:ascii="宋体" w:hAnsi="宋体" w:eastAsia="宋体"/>
                <w:sz w:val="24"/>
                <w:szCs w:val="24"/>
              </w:rPr>
              <w:t>万（含）以上，4</w:t>
            </w:r>
            <w:r>
              <w:rPr>
                <w:rFonts w:ascii="宋体" w:hAnsi="宋体" w:eastAsia="宋体"/>
                <w:sz w:val="24"/>
                <w:szCs w:val="24"/>
              </w:rPr>
              <w:t>00</w:t>
            </w:r>
            <w:r>
              <w:rPr>
                <w:rFonts w:hint="eastAsia" w:ascii="宋体" w:hAnsi="宋体" w:eastAsia="宋体"/>
                <w:sz w:val="24"/>
                <w:szCs w:val="24"/>
              </w:rPr>
              <w:t>万以下，每个1分；</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项目建设规模2</w:t>
            </w:r>
            <w:r>
              <w:rPr>
                <w:rFonts w:ascii="宋体" w:hAnsi="宋体" w:eastAsia="宋体"/>
                <w:sz w:val="24"/>
                <w:szCs w:val="24"/>
              </w:rPr>
              <w:t>00</w:t>
            </w:r>
            <w:r>
              <w:rPr>
                <w:rFonts w:hint="eastAsia" w:ascii="宋体" w:hAnsi="宋体" w:eastAsia="宋体"/>
                <w:sz w:val="24"/>
                <w:szCs w:val="24"/>
              </w:rPr>
              <w:t>万（含）以上，3</w:t>
            </w:r>
            <w:r>
              <w:rPr>
                <w:rFonts w:ascii="宋体" w:hAnsi="宋体" w:eastAsia="宋体"/>
                <w:sz w:val="24"/>
                <w:szCs w:val="24"/>
              </w:rPr>
              <w:t>00</w:t>
            </w:r>
            <w:r>
              <w:rPr>
                <w:rFonts w:hint="eastAsia" w:ascii="宋体" w:hAnsi="宋体" w:eastAsia="宋体"/>
                <w:sz w:val="24"/>
                <w:szCs w:val="24"/>
              </w:rPr>
              <w:t>万以下，每个0</w:t>
            </w:r>
            <w:r>
              <w:rPr>
                <w:rFonts w:ascii="宋体" w:hAnsi="宋体" w:eastAsia="宋体"/>
                <w:sz w:val="24"/>
                <w:szCs w:val="24"/>
              </w:rPr>
              <w:t>.5</w:t>
            </w:r>
            <w:r>
              <w:rPr>
                <w:rFonts w:hint="eastAsia" w:ascii="宋体" w:hAnsi="宋体" w:eastAsia="宋体"/>
                <w:sz w:val="24"/>
                <w:szCs w:val="24"/>
              </w:rPr>
              <w:t>分；</w:t>
            </w:r>
          </w:p>
          <w:p>
            <w:pPr>
              <w:pStyle w:val="14"/>
              <w:numPr>
                <w:ilvl w:val="0"/>
                <w:numId w:val="25"/>
              </w:numPr>
              <w:spacing w:line="400" w:lineRule="exact"/>
              <w:ind w:firstLineChars="0"/>
              <w:rPr>
                <w:rFonts w:ascii="宋体" w:hAnsi="宋体" w:eastAsia="宋体"/>
                <w:sz w:val="24"/>
                <w:szCs w:val="24"/>
              </w:rPr>
            </w:pPr>
            <w:r>
              <w:rPr>
                <w:rFonts w:hint="eastAsia" w:ascii="宋体" w:hAnsi="宋体" w:eastAsia="宋体"/>
                <w:sz w:val="24"/>
                <w:szCs w:val="24"/>
              </w:rPr>
              <w:t>项目建设规模2</w:t>
            </w:r>
            <w:r>
              <w:rPr>
                <w:rFonts w:ascii="宋体" w:hAnsi="宋体" w:eastAsia="宋体"/>
                <w:sz w:val="24"/>
                <w:szCs w:val="24"/>
              </w:rPr>
              <w:t>00</w:t>
            </w:r>
            <w:r>
              <w:rPr>
                <w:rFonts w:hint="eastAsia" w:ascii="宋体" w:hAnsi="宋体" w:eastAsia="宋体"/>
                <w:sz w:val="24"/>
                <w:szCs w:val="24"/>
              </w:rPr>
              <w:t>万以下，得0分。</w:t>
            </w:r>
          </w:p>
          <w:p>
            <w:pPr>
              <w:spacing w:line="400" w:lineRule="exact"/>
            </w:pPr>
            <w:r>
              <w:rPr>
                <w:rFonts w:hint="eastAsia"/>
              </w:rPr>
              <w:t>以上合计得分最高1</w:t>
            </w:r>
            <w:r>
              <w:t>0</w:t>
            </w:r>
            <w:r>
              <w:rPr>
                <w:rFonts w:hint="eastAsia"/>
              </w:rPr>
              <w:t>分。</w:t>
            </w:r>
            <w:r>
              <w:rPr>
                <w:rFonts w:cs="宋体"/>
              </w:rPr>
              <w:t>【</w:t>
            </w:r>
            <w:r>
              <w:rPr>
                <w:rFonts w:hint="eastAsia"/>
              </w:rPr>
              <w:t>业绩情况需</w:t>
            </w:r>
            <w:r>
              <w:rPr>
                <w:rFonts w:cs="宋体"/>
              </w:rPr>
              <w:t>提供合同关键页（首页、合同期、合同金额和盖章页）扫描件，时间以合同签订时间为准。】</w:t>
            </w:r>
          </w:p>
        </w:tc>
        <w:tc>
          <w:tcPr>
            <w:tcW w:w="1001" w:type="dxa"/>
            <w:shd w:val="clear" w:color="auto" w:fill="auto"/>
            <w:vAlign w:val="center"/>
          </w:tcPr>
          <w:p>
            <w:pPr>
              <w:spacing w:line="400" w:lineRule="exact"/>
            </w:pPr>
            <w:r>
              <w:t>10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rPr>
                <w:rFonts w:cs="宋体"/>
              </w:rPr>
            </w:pPr>
            <w:r>
              <w:rPr>
                <w:rFonts w:hint="eastAsia" w:cs="宋体"/>
              </w:rPr>
              <w:t>本地化服务</w:t>
            </w:r>
            <w:r>
              <w:rPr>
                <w:rFonts w:cs="宋体"/>
              </w:rPr>
              <w:t>能力</w:t>
            </w:r>
          </w:p>
        </w:tc>
        <w:tc>
          <w:tcPr>
            <w:tcW w:w="6115" w:type="dxa"/>
            <w:shd w:val="clear" w:color="auto" w:fill="auto"/>
            <w:vAlign w:val="center"/>
          </w:tcPr>
          <w:p>
            <w:pPr>
              <w:spacing w:line="400" w:lineRule="exact"/>
              <w:rPr>
                <w:rFonts w:cs="宋体"/>
              </w:rPr>
            </w:pPr>
            <w:r>
              <w:rPr>
                <w:rFonts w:hint="eastAsia" w:cs="宋体"/>
              </w:rPr>
              <w:t>投标人在使用地区设有长期稳定的服务机构，服务便捷：投标人在广州服务本地化，得5</w:t>
            </w:r>
            <w:r>
              <w:rPr>
                <w:rFonts w:cs="宋体"/>
              </w:rPr>
              <w:t>分；无得0分。</w:t>
            </w:r>
          </w:p>
        </w:tc>
        <w:tc>
          <w:tcPr>
            <w:tcW w:w="1001" w:type="dxa"/>
            <w:shd w:val="clear" w:color="auto" w:fill="auto"/>
            <w:vAlign w:val="center"/>
          </w:tcPr>
          <w:p>
            <w:pPr>
              <w:spacing w:line="400" w:lineRule="exact"/>
            </w:pPr>
            <w:r>
              <w:rPr>
                <w:rFonts w:hint="eastAsia"/>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rPr>
                <w:rFonts w:cs="宋体"/>
              </w:rPr>
            </w:pPr>
            <w:r>
              <w:rPr>
                <w:rFonts w:hint="eastAsia" w:cs="宋体"/>
              </w:rPr>
              <w:t>投标人荣誉</w:t>
            </w:r>
          </w:p>
        </w:tc>
        <w:tc>
          <w:tcPr>
            <w:tcW w:w="6115" w:type="dxa"/>
            <w:shd w:val="clear" w:color="auto" w:fill="auto"/>
            <w:vAlign w:val="center"/>
          </w:tcPr>
          <w:p>
            <w:pPr>
              <w:spacing w:line="400" w:lineRule="exact"/>
              <w:rPr>
                <w:rFonts w:cs="宋体"/>
              </w:rPr>
            </w:pPr>
            <w:r>
              <w:rPr>
                <w:rFonts w:hint="eastAsia" w:cs="宋体"/>
              </w:rPr>
              <w:t>1</w:t>
            </w:r>
            <w:r>
              <w:rPr>
                <w:rFonts w:cs="宋体"/>
              </w:rPr>
              <w:t>.</w:t>
            </w:r>
            <w:r>
              <w:rPr>
                <w:rFonts w:hint="eastAsia"/>
              </w:rPr>
              <w:t xml:space="preserve"> </w:t>
            </w:r>
            <w:r>
              <w:rPr>
                <w:rFonts w:hint="eastAsia" w:cs="宋体"/>
              </w:rPr>
              <w:t>具有有效的全国商品售后服务认证证书，认证范围需含：信息系统工程监理及相关信息技术服务，得</w:t>
            </w:r>
            <w:r>
              <w:rPr>
                <w:rFonts w:cs="宋体"/>
              </w:rPr>
              <w:t>5分；</w:t>
            </w:r>
          </w:p>
          <w:p>
            <w:pPr>
              <w:spacing w:line="400" w:lineRule="exact"/>
              <w:rPr>
                <w:rFonts w:cs="宋体"/>
              </w:rPr>
            </w:pPr>
            <w:r>
              <w:rPr>
                <w:rFonts w:cs="宋体"/>
              </w:rPr>
              <w:t>2.</w:t>
            </w:r>
            <w:r>
              <w:rPr>
                <w:rFonts w:hint="eastAsia"/>
              </w:rPr>
              <w:t xml:space="preserve"> </w:t>
            </w:r>
            <w:r>
              <w:rPr>
                <w:rFonts w:hint="eastAsia" w:cs="宋体"/>
              </w:rPr>
              <w:t>具有央行企业征信业务经营备案的第三方信用评级机构出具的企业信用</w:t>
            </w:r>
            <w:r>
              <w:rPr>
                <w:rFonts w:cs="宋体"/>
              </w:rPr>
              <w:t>AAA证书,得5分</w:t>
            </w:r>
            <w:r>
              <w:rPr>
                <w:rFonts w:hint="eastAsia" w:cs="宋体"/>
              </w:rPr>
              <w:t>。</w:t>
            </w:r>
          </w:p>
          <w:p>
            <w:pPr>
              <w:spacing w:line="400" w:lineRule="exact"/>
              <w:rPr>
                <w:rFonts w:cs="宋体"/>
              </w:rPr>
            </w:pPr>
            <w:r>
              <w:rPr>
                <w:rFonts w:hint="eastAsia" w:cs="宋体"/>
              </w:rPr>
              <w:t>以上合计得分最高1</w:t>
            </w:r>
            <w:r>
              <w:rPr>
                <w:rFonts w:cs="宋体"/>
              </w:rPr>
              <w:t>0</w:t>
            </w:r>
            <w:r>
              <w:rPr>
                <w:rFonts w:hint="eastAsia" w:cs="宋体"/>
              </w:rPr>
              <w:t>分。</w:t>
            </w:r>
          </w:p>
        </w:tc>
        <w:tc>
          <w:tcPr>
            <w:tcW w:w="1001" w:type="dxa"/>
            <w:shd w:val="clear" w:color="auto" w:fill="auto"/>
            <w:vAlign w:val="center"/>
          </w:tcPr>
          <w:p>
            <w:pPr>
              <w:spacing w:line="400" w:lineRule="exact"/>
            </w:pPr>
            <w:r>
              <w:rPr>
                <w:rFonts w:hint="eastAsia"/>
              </w:rPr>
              <w:t>1</w:t>
            </w:r>
            <w:r>
              <w:t>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rPr>
                <w:rFonts w:cs="宋体"/>
              </w:rPr>
            </w:pPr>
            <w:r>
              <w:rPr>
                <w:rFonts w:hint="eastAsia" w:cs="宋体"/>
              </w:rPr>
              <w:t>投标人</w:t>
            </w:r>
            <w:r>
              <w:rPr>
                <w:rFonts w:cs="宋体"/>
              </w:rPr>
              <w:t>机构要求</w:t>
            </w:r>
          </w:p>
        </w:tc>
        <w:tc>
          <w:tcPr>
            <w:tcW w:w="6115" w:type="dxa"/>
            <w:shd w:val="clear" w:color="auto" w:fill="auto"/>
            <w:vAlign w:val="center"/>
          </w:tcPr>
          <w:p>
            <w:pPr>
              <w:spacing w:line="400" w:lineRule="exact"/>
              <w:rPr>
                <w:rFonts w:cs="宋体"/>
              </w:rPr>
            </w:pPr>
            <w:r>
              <w:rPr>
                <w:rFonts w:cs="宋体"/>
              </w:rPr>
              <w:t xml:space="preserve">1.投标人派驻不少于（含）1名专职驻场人员到采购方单位，总监理工程师代表必须驻场，驻场人员必须专职从事本项目监理工作。驻场人员均要求具有人社部门颁发的信息系统监理师和项目管理师证书。完全满足以上要求的得8分；不满足得0分。 </w:t>
            </w:r>
          </w:p>
          <w:p>
            <w:pPr>
              <w:spacing w:line="400" w:lineRule="exact"/>
              <w:rPr>
                <w:rFonts w:cs="宋体"/>
              </w:rPr>
            </w:pPr>
            <w:r>
              <w:rPr>
                <w:rFonts w:cs="宋体"/>
              </w:rPr>
              <w:t>2.监理团队不少于3人，最少1个团队成员拥有工业和信息化部人才交流中心颁发的全国计算机软件架构专业人才证书，得2分，没有不得分。</w:t>
            </w:r>
          </w:p>
        </w:tc>
        <w:tc>
          <w:tcPr>
            <w:tcW w:w="1001" w:type="dxa"/>
            <w:shd w:val="clear" w:color="auto" w:fill="auto"/>
            <w:vAlign w:val="center"/>
          </w:tcPr>
          <w:p>
            <w:pPr>
              <w:spacing w:line="400" w:lineRule="exact"/>
            </w:pPr>
            <w:r>
              <w:rPr>
                <w:rFonts w:hint="eastAsia"/>
              </w:rPr>
              <w:t>1</w:t>
            </w:r>
            <w:r>
              <w:t>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cs="宋体"/>
              </w:rPr>
              <w:t>项目</w:t>
            </w:r>
            <w:r>
              <w:rPr>
                <w:rFonts w:hint="eastAsia" w:cs="宋体"/>
              </w:rPr>
              <w:t>驻场监理</w:t>
            </w:r>
            <w:r>
              <w:rPr>
                <w:rFonts w:cs="宋体"/>
              </w:rPr>
              <w:t>能力水平</w:t>
            </w:r>
          </w:p>
        </w:tc>
        <w:tc>
          <w:tcPr>
            <w:tcW w:w="6115" w:type="dxa"/>
            <w:shd w:val="clear" w:color="auto" w:fill="auto"/>
            <w:vAlign w:val="center"/>
          </w:tcPr>
          <w:p>
            <w:pPr>
              <w:pStyle w:val="14"/>
              <w:numPr>
                <w:ilvl w:val="0"/>
                <w:numId w:val="26"/>
              </w:numPr>
              <w:spacing w:line="400" w:lineRule="exact"/>
              <w:ind w:firstLineChars="0"/>
              <w:rPr>
                <w:rFonts w:ascii="宋体" w:hAnsi="宋体" w:eastAsia="宋体"/>
                <w:sz w:val="24"/>
                <w:szCs w:val="24"/>
              </w:rPr>
            </w:pPr>
            <w:r>
              <w:rPr>
                <w:rFonts w:ascii="宋体" w:hAnsi="宋体" w:eastAsia="宋体"/>
                <w:sz w:val="24"/>
                <w:szCs w:val="24"/>
              </w:rPr>
              <w:t>能力水平：大学本科或以上学历且信息系统监理师证书、信息系统项目管理师证书、PMP证书，每个得2分。最高得6分。</w:t>
            </w:r>
          </w:p>
          <w:p>
            <w:pPr>
              <w:pStyle w:val="14"/>
              <w:numPr>
                <w:ilvl w:val="0"/>
                <w:numId w:val="26"/>
              </w:numPr>
              <w:spacing w:line="400" w:lineRule="exact"/>
              <w:ind w:firstLineChars="0"/>
              <w:rPr>
                <w:rFonts w:ascii="宋体" w:hAnsi="宋体" w:eastAsia="宋体"/>
                <w:sz w:val="24"/>
                <w:szCs w:val="24"/>
              </w:rPr>
            </w:pPr>
            <w:r>
              <w:rPr>
                <w:rFonts w:hint="eastAsia" w:ascii="宋体" w:hAnsi="宋体" w:eastAsia="宋体"/>
                <w:sz w:val="24"/>
                <w:szCs w:val="24"/>
              </w:rPr>
              <w:t>具有国家人力资源和社会保障部相关部门颁发的软件评测工程师证书，得</w:t>
            </w:r>
            <w:r>
              <w:rPr>
                <w:rFonts w:ascii="宋体" w:hAnsi="宋体" w:eastAsia="宋体"/>
                <w:sz w:val="24"/>
                <w:szCs w:val="24"/>
              </w:rPr>
              <w:t>5分。</w:t>
            </w:r>
          </w:p>
          <w:p>
            <w:pPr>
              <w:pStyle w:val="14"/>
              <w:numPr>
                <w:ilvl w:val="0"/>
                <w:numId w:val="26"/>
              </w:numPr>
              <w:spacing w:line="400" w:lineRule="exact"/>
              <w:ind w:firstLineChars="0"/>
              <w:rPr>
                <w:rFonts w:ascii="宋体" w:hAnsi="宋体" w:eastAsia="宋体"/>
                <w:sz w:val="24"/>
                <w:szCs w:val="24"/>
              </w:rPr>
            </w:pPr>
            <w:r>
              <w:rPr>
                <w:rFonts w:ascii="宋体" w:hAnsi="宋体" w:eastAsia="宋体"/>
                <w:sz w:val="24"/>
                <w:szCs w:val="24"/>
              </w:rPr>
              <w:t>具有PRINCE2 Practitioner证书，得5分。</w:t>
            </w:r>
          </w:p>
          <w:p>
            <w:pPr>
              <w:pStyle w:val="14"/>
              <w:numPr>
                <w:ilvl w:val="0"/>
                <w:numId w:val="26"/>
              </w:numPr>
              <w:spacing w:line="400" w:lineRule="exact"/>
              <w:ind w:firstLineChars="0"/>
              <w:rPr>
                <w:rFonts w:ascii="宋体" w:hAnsi="宋体" w:eastAsia="宋体"/>
                <w:sz w:val="24"/>
                <w:szCs w:val="24"/>
              </w:rPr>
            </w:pPr>
            <w:r>
              <w:rPr>
                <w:rFonts w:hint="eastAsia" w:ascii="宋体" w:hAnsi="宋体" w:eastAsia="宋体"/>
                <w:sz w:val="24"/>
                <w:szCs w:val="24"/>
              </w:rPr>
              <w:t>具有</w:t>
            </w:r>
            <w:r>
              <w:rPr>
                <w:rFonts w:ascii="宋体" w:hAnsi="宋体" w:eastAsia="宋体"/>
                <w:sz w:val="24"/>
                <w:szCs w:val="24"/>
              </w:rPr>
              <w:t>300万元（含）以上投资规模信息化项目监理经验每个2分，最高4分。（提供相关证明文件）</w:t>
            </w:r>
          </w:p>
          <w:p>
            <w:pPr>
              <w:pStyle w:val="14"/>
              <w:spacing w:line="400" w:lineRule="exact"/>
              <w:ind w:firstLineChars="193"/>
              <w:rPr>
                <w:rFonts w:ascii="宋体" w:hAnsi="宋体" w:eastAsia="宋体" w:cs="宋体"/>
                <w:sz w:val="24"/>
                <w:szCs w:val="24"/>
              </w:rPr>
            </w:pPr>
            <w:r>
              <w:rPr>
                <w:rFonts w:hint="eastAsia" w:ascii="宋体" w:hAnsi="宋体" w:eastAsia="宋体" w:cs="宋体"/>
                <w:sz w:val="24"/>
                <w:szCs w:val="24"/>
              </w:rPr>
              <w:t>本项的项目经验不重复计分。</w:t>
            </w:r>
          </w:p>
          <w:p>
            <w:pPr>
              <w:pStyle w:val="14"/>
              <w:spacing w:line="400" w:lineRule="exact"/>
              <w:ind w:firstLine="435"/>
              <w:rPr>
                <w:rFonts w:ascii="宋体" w:hAnsi="宋体" w:eastAsia="宋体"/>
                <w:sz w:val="24"/>
                <w:szCs w:val="24"/>
              </w:rPr>
            </w:pPr>
            <w:r>
              <w:rPr>
                <w:rFonts w:hint="eastAsia" w:ascii="宋体" w:hAnsi="宋体" w:eastAsia="宋体" w:cs="宋体"/>
                <w:sz w:val="24"/>
                <w:szCs w:val="24"/>
              </w:rPr>
              <w:t>须提供资格证书及在本公司任职的外部证明材料（如有关部门打印日期在本项目投标截止日之前连续六个月的《投保单》或《社会保险参保证明》，或单位代缴个人所得税税单等。）</w:t>
            </w:r>
          </w:p>
        </w:tc>
        <w:tc>
          <w:tcPr>
            <w:tcW w:w="1001" w:type="dxa"/>
            <w:shd w:val="clear" w:color="auto" w:fill="auto"/>
            <w:vAlign w:val="center"/>
          </w:tcPr>
          <w:p>
            <w:pPr>
              <w:spacing w:line="400" w:lineRule="exact"/>
            </w:pPr>
            <w:r>
              <w:t>20</w:t>
            </w:r>
            <w:r>
              <w:rPr>
                <w:rFonts w:hint="eastAsia"/>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shd w:val="clear" w:color="auto" w:fill="auto"/>
            <w:vAlign w:val="center"/>
          </w:tcPr>
          <w:p>
            <w:pPr>
              <w:spacing w:line="400" w:lineRule="exact"/>
            </w:pPr>
            <w:r>
              <w:rPr>
                <w:rFonts w:cs="宋体"/>
              </w:rPr>
              <w:t>项目总监理工程师能力水平</w:t>
            </w:r>
          </w:p>
        </w:tc>
        <w:tc>
          <w:tcPr>
            <w:tcW w:w="6115" w:type="dxa"/>
            <w:shd w:val="clear" w:color="auto" w:fill="auto"/>
            <w:vAlign w:val="center"/>
          </w:tcPr>
          <w:p>
            <w:pPr>
              <w:pStyle w:val="14"/>
              <w:numPr>
                <w:ilvl w:val="0"/>
                <w:numId w:val="27"/>
              </w:numPr>
              <w:spacing w:line="400" w:lineRule="exact"/>
              <w:ind w:firstLineChars="0"/>
              <w:rPr>
                <w:rFonts w:ascii="宋体" w:hAnsi="宋体" w:eastAsia="宋体"/>
                <w:sz w:val="24"/>
                <w:szCs w:val="24"/>
              </w:rPr>
            </w:pPr>
            <w:r>
              <w:rPr>
                <w:rFonts w:hint="eastAsia" w:ascii="宋体" w:hAnsi="宋体" w:eastAsia="宋体"/>
                <w:sz w:val="24"/>
                <w:szCs w:val="24"/>
              </w:rPr>
              <w:t>能力水平：大学本科或以上学历且具有中国网络安全审查技术与认证中心颁发的信息安全保障人员认证注册证书（注册方向：风险管理专业级）或以上，得</w:t>
            </w:r>
            <w:r>
              <w:rPr>
                <w:rFonts w:ascii="宋体" w:hAnsi="宋体" w:eastAsia="宋体"/>
                <w:sz w:val="24"/>
                <w:szCs w:val="24"/>
              </w:rPr>
              <w:t>5分</w:t>
            </w:r>
          </w:p>
          <w:p>
            <w:pPr>
              <w:pStyle w:val="14"/>
              <w:numPr>
                <w:ilvl w:val="0"/>
                <w:numId w:val="27"/>
              </w:numPr>
              <w:spacing w:line="400" w:lineRule="exact"/>
              <w:ind w:firstLineChars="0"/>
              <w:rPr>
                <w:rFonts w:ascii="宋体" w:hAnsi="宋体" w:eastAsia="宋体"/>
                <w:sz w:val="24"/>
                <w:szCs w:val="24"/>
              </w:rPr>
            </w:pPr>
            <w:r>
              <w:rPr>
                <w:rFonts w:hint="eastAsia" w:ascii="宋体" w:hAnsi="宋体" w:eastAsia="宋体" w:cs="宋体"/>
                <w:sz w:val="24"/>
                <w:szCs w:val="24"/>
              </w:rPr>
              <w:t>具有全国计算机技术与软件专业技术资格“信息安全工程师”证书，得</w:t>
            </w:r>
            <w:r>
              <w:rPr>
                <w:rFonts w:ascii="宋体" w:hAnsi="宋体" w:eastAsia="宋体" w:cs="宋体"/>
                <w:sz w:val="24"/>
                <w:szCs w:val="24"/>
              </w:rPr>
              <w:t>5分；</w:t>
            </w:r>
          </w:p>
          <w:p>
            <w:pPr>
              <w:pStyle w:val="14"/>
              <w:numPr>
                <w:ilvl w:val="0"/>
                <w:numId w:val="27"/>
              </w:numPr>
              <w:spacing w:line="400" w:lineRule="exact"/>
              <w:ind w:firstLineChars="0"/>
              <w:rPr>
                <w:rFonts w:ascii="宋体" w:hAnsi="宋体" w:eastAsia="宋体"/>
                <w:sz w:val="24"/>
                <w:szCs w:val="24"/>
              </w:rPr>
            </w:pPr>
            <w:r>
              <w:rPr>
                <w:rFonts w:hint="eastAsia" w:ascii="宋体" w:hAnsi="宋体" w:eastAsia="宋体"/>
                <w:sz w:val="24"/>
                <w:szCs w:val="24"/>
              </w:rPr>
              <w:t>具有国家人力资源和社会保障部相关部门颁发的软件测试工程师证书，得</w:t>
            </w:r>
            <w:r>
              <w:rPr>
                <w:rFonts w:ascii="宋体" w:hAnsi="宋体" w:eastAsia="宋体"/>
                <w:sz w:val="24"/>
                <w:szCs w:val="24"/>
              </w:rPr>
              <w:t>5分；</w:t>
            </w:r>
          </w:p>
          <w:p>
            <w:pPr>
              <w:pStyle w:val="14"/>
              <w:numPr>
                <w:ilvl w:val="0"/>
                <w:numId w:val="27"/>
              </w:numPr>
              <w:spacing w:line="400" w:lineRule="exact"/>
              <w:ind w:firstLineChars="0"/>
              <w:rPr>
                <w:rFonts w:ascii="宋体" w:hAnsi="宋体" w:eastAsia="宋体"/>
                <w:sz w:val="24"/>
                <w:szCs w:val="24"/>
              </w:rPr>
            </w:pPr>
            <w:r>
              <w:rPr>
                <w:rFonts w:hint="eastAsia" w:ascii="宋体" w:hAnsi="宋体" w:eastAsia="宋体"/>
                <w:sz w:val="24"/>
                <w:szCs w:val="24"/>
              </w:rPr>
              <w:t>具有</w:t>
            </w:r>
            <w:r>
              <w:rPr>
                <w:rFonts w:ascii="宋体" w:hAnsi="宋体" w:eastAsia="宋体"/>
                <w:sz w:val="24"/>
                <w:szCs w:val="24"/>
              </w:rPr>
              <w:t>500万元以上投资规模信息化项目监理经验，得5分；（提供相关证明文件）</w:t>
            </w:r>
          </w:p>
          <w:p>
            <w:pPr>
              <w:pStyle w:val="14"/>
              <w:spacing w:line="400" w:lineRule="exact"/>
              <w:ind w:firstLine="435"/>
              <w:rPr>
                <w:rFonts w:ascii="宋体" w:hAnsi="宋体" w:eastAsia="宋体"/>
                <w:sz w:val="24"/>
                <w:szCs w:val="24"/>
              </w:rPr>
            </w:pPr>
            <w:r>
              <w:rPr>
                <w:rFonts w:ascii="宋体" w:hAnsi="宋体" w:eastAsia="宋体" w:cs="宋体"/>
                <w:sz w:val="24"/>
                <w:szCs w:val="24"/>
              </w:rPr>
              <w:t>须提供资格证书及在本公司任职的外部证明材料（如有关部门打印日期在本项目投标截止日之前连续六个月的《投保单》或《社会保险参保证明》，或单位代缴个人所得税税单等。）</w:t>
            </w:r>
          </w:p>
        </w:tc>
        <w:tc>
          <w:tcPr>
            <w:tcW w:w="1001" w:type="dxa"/>
            <w:shd w:val="clear" w:color="auto" w:fill="auto"/>
            <w:vAlign w:val="center"/>
          </w:tcPr>
          <w:p>
            <w:pPr>
              <w:spacing w:line="400" w:lineRule="exact"/>
            </w:pPr>
            <w:r>
              <w:rPr>
                <w:rFonts w:hint="eastAsia"/>
              </w:rPr>
              <w:t>2</w:t>
            </w:r>
            <w:r>
              <w:t>0</w:t>
            </w:r>
            <w:r>
              <w:rPr>
                <w:rFonts w:hint="eastAsia"/>
              </w:rPr>
              <w:t>分</w:t>
            </w:r>
          </w:p>
        </w:tc>
      </w:tr>
    </w:tbl>
    <w:p>
      <w:pPr>
        <w:spacing w:line="300" w:lineRule="auto"/>
        <w:ind w:firstLine="413" w:firstLineChars="220"/>
      </w:pPr>
    </w:p>
    <w:p>
      <w:pPr>
        <w:numPr>
          <w:ilvl w:val="0"/>
          <w:numId w:val="24"/>
        </w:numPr>
        <w:tabs>
          <w:tab w:val="left" w:pos="780"/>
        </w:tabs>
        <w:spacing w:line="300" w:lineRule="auto"/>
        <w:ind w:left="0" w:firstLine="375" w:firstLineChars="200"/>
      </w:pPr>
      <w:r>
        <w:rPr>
          <w:rFonts w:hint="eastAsia"/>
        </w:rPr>
        <w:t>评审流程</w:t>
      </w:r>
    </w:p>
    <w:p>
      <w:pPr>
        <w:spacing w:line="300" w:lineRule="auto"/>
        <w:ind w:left="420"/>
      </w:pPr>
      <w:r>
        <w:rPr>
          <w:rFonts w:hint="eastAsia"/>
        </w:rPr>
        <w:t>（1）初步评审：对报价书的符合性及有效性进行初步评审并复查报价文件的符合性及有效性。初步评审不合格的报价书视为无效报价，不得进入后续评审阶段。评审内容包括但不限于以下项目：</w:t>
      </w:r>
    </w:p>
    <w:p>
      <w:pPr>
        <w:spacing w:line="300" w:lineRule="auto"/>
        <w:ind w:left="420"/>
      </w:pPr>
      <w:r>
        <w:rPr>
          <w:rFonts w:hint="eastAsia"/>
        </w:rPr>
        <w:t>①是否按照规定打印或填写、装订，字迹清晰；</w:t>
      </w:r>
    </w:p>
    <w:p>
      <w:pPr>
        <w:spacing w:line="300" w:lineRule="auto"/>
        <w:ind w:left="420"/>
      </w:pPr>
      <w:r>
        <w:rPr>
          <w:rFonts w:hint="eastAsia"/>
        </w:rPr>
        <w:t>②法定代表人或获授权代表的署名及报价单位的公司印鉴是否齐全；</w:t>
      </w:r>
    </w:p>
    <w:p>
      <w:pPr>
        <w:spacing w:line="300" w:lineRule="auto"/>
        <w:ind w:left="420"/>
      </w:pPr>
      <w:r>
        <w:rPr>
          <w:rFonts w:hint="eastAsia"/>
        </w:rPr>
        <w:t>③是否按照要求填写各清单项目的单价及总价，有无算术错误；</w:t>
      </w:r>
    </w:p>
    <w:p>
      <w:pPr>
        <w:spacing w:line="300" w:lineRule="auto"/>
        <w:ind w:left="420"/>
      </w:pPr>
      <w:r>
        <w:rPr>
          <w:rFonts w:hint="eastAsia"/>
        </w:rPr>
        <w:t>④资质是否符合比选文件要求，是否按照要求提供其他有关报价资料；</w:t>
      </w:r>
    </w:p>
    <w:p>
      <w:pPr>
        <w:spacing w:line="300" w:lineRule="auto"/>
        <w:ind w:left="420"/>
      </w:pPr>
      <w:r>
        <w:rPr>
          <w:rFonts w:hint="eastAsia"/>
        </w:rPr>
        <w:t>⑤是否符合比选文件的各项实质性要求，无重大偏离。</w:t>
      </w:r>
    </w:p>
    <w:p>
      <w:pPr>
        <w:spacing w:line="300" w:lineRule="auto"/>
        <w:ind w:left="420"/>
      </w:pPr>
      <w:r>
        <w:rPr>
          <w:rFonts w:hint="eastAsia"/>
        </w:rPr>
        <w:t>（2）商务技术标评审：对报价文件的商务技术文件进行评审，评审内容包括但不限于以下项目：</w:t>
      </w:r>
    </w:p>
    <w:p>
      <w:pPr>
        <w:spacing w:line="300" w:lineRule="auto"/>
        <w:ind w:left="420"/>
      </w:pPr>
      <w:r>
        <w:rPr>
          <w:rFonts w:hint="eastAsia"/>
        </w:rPr>
        <w:t>①组织机构、企业资质及专业技术力量能否满足需要；</w:t>
      </w:r>
    </w:p>
    <w:p>
      <w:pPr>
        <w:spacing w:line="300" w:lineRule="auto"/>
        <w:ind w:left="420"/>
      </w:pPr>
      <w:r>
        <w:rPr>
          <w:rFonts w:hint="eastAsia"/>
        </w:rPr>
        <w:t>②能否帮助比选单位实现既定目标。</w:t>
      </w:r>
    </w:p>
    <w:p>
      <w:pPr>
        <w:spacing w:line="300" w:lineRule="auto"/>
        <w:ind w:left="420"/>
      </w:pPr>
      <w:r>
        <w:rPr>
          <w:rFonts w:hint="eastAsia"/>
        </w:rPr>
        <w:t>③报价单价及总价是否合理；</w:t>
      </w:r>
    </w:p>
    <w:p>
      <w:pPr>
        <w:spacing w:line="300" w:lineRule="auto"/>
        <w:ind w:left="420"/>
      </w:pPr>
      <w:r>
        <w:rPr>
          <w:rFonts w:hint="eastAsia"/>
        </w:rPr>
        <w:t>④是否提出偏离比选文件要求的特别声明；</w:t>
      </w:r>
    </w:p>
    <w:p>
      <w:pPr>
        <w:spacing w:line="300" w:lineRule="auto"/>
        <w:ind w:left="420"/>
      </w:pPr>
      <w:r>
        <w:rPr>
          <w:rFonts w:hint="eastAsia"/>
        </w:rPr>
        <w:t>⑤是否符合比选文件规定的其它条件；⑥</w:t>
      </w:r>
    </w:p>
    <w:p>
      <w:pPr>
        <w:autoSpaceDN w:val="0"/>
        <w:spacing w:line="480" w:lineRule="exact"/>
        <w:ind w:firstLine="375" w:firstLineChars="200"/>
      </w:pPr>
      <w:bookmarkStart w:id="39" w:name="_Toc406932433"/>
      <w:r>
        <w:rPr>
          <w:rFonts w:hint="eastAsia"/>
        </w:rPr>
        <w:t>（3</w:t>
      </w:r>
      <w:r>
        <w:t>）</w:t>
      </w:r>
      <w:r>
        <w:rPr>
          <w:rFonts w:hint="eastAsia"/>
        </w:rPr>
        <w:t>计算</w:t>
      </w:r>
      <w:r>
        <w:t>综合得分：评审</w:t>
      </w:r>
      <w:r>
        <w:rPr>
          <w:rFonts w:hint="eastAsia"/>
        </w:rPr>
        <w:t>委员会</w:t>
      </w:r>
      <w:r>
        <w:t>分别就各个报价人的报价及其对比选文件要求的响应情况进行评议和比较，评出其报价和</w:t>
      </w:r>
      <w:r>
        <w:rPr>
          <w:rFonts w:hint="eastAsia"/>
        </w:rPr>
        <w:t>商务技术</w:t>
      </w:r>
      <w:r>
        <w:t>得分。各评委的报价、</w:t>
      </w:r>
      <w:r>
        <w:rPr>
          <w:rFonts w:hint="eastAsia"/>
        </w:rPr>
        <w:t>商务技术</w:t>
      </w:r>
      <w:r>
        <w:t>得分的算术平均值即为该报价人的报价、商务技术得分。将各报价人的报价得分和商务技术得分相加得出其综合得分。将各综合得分由高到低顺序排列，综合得分最高的报价人为第一成交候选人，综合得分次高的报价人为第二成交候选人</w:t>
      </w:r>
      <w:r>
        <w:rPr>
          <w:rFonts w:hint="eastAsia"/>
        </w:rPr>
        <w:t>。</w:t>
      </w:r>
    </w:p>
    <w:p>
      <w:pPr>
        <w:numPr>
          <w:ilvl w:val="0"/>
          <w:numId w:val="2"/>
        </w:numPr>
        <w:tabs>
          <w:tab w:val="left" w:pos="450"/>
        </w:tabs>
        <w:spacing w:line="420" w:lineRule="auto"/>
        <w:ind w:left="448" w:hanging="448"/>
        <w:outlineLvl w:val="1"/>
        <w:rPr>
          <w:b/>
        </w:rPr>
      </w:pPr>
      <w:r>
        <w:rPr>
          <w:rFonts w:hint="eastAsia"/>
          <w:b/>
        </w:rPr>
        <w:t>成交及授标</w:t>
      </w:r>
      <w:bookmarkEnd w:id="39"/>
    </w:p>
    <w:p>
      <w:pPr>
        <w:spacing w:line="300" w:lineRule="auto"/>
        <w:ind w:firstLine="375" w:firstLineChars="200"/>
        <w:rPr>
          <w:bCs/>
        </w:rPr>
      </w:pPr>
      <w:r>
        <w:rPr>
          <w:rFonts w:hint="eastAsia"/>
        </w:rPr>
        <w:t>比选人按照评审报告中推荐的成交候选报价人顺序确定成交报价人；并向成交人发出《成交通知书》。</w:t>
      </w:r>
    </w:p>
    <w:p>
      <w:pPr>
        <w:numPr>
          <w:ilvl w:val="0"/>
          <w:numId w:val="2"/>
        </w:numPr>
        <w:tabs>
          <w:tab w:val="left" w:pos="450"/>
        </w:tabs>
        <w:spacing w:line="420" w:lineRule="auto"/>
        <w:ind w:left="448" w:hanging="448"/>
        <w:outlineLvl w:val="1"/>
        <w:rPr>
          <w:b/>
          <w:bCs/>
        </w:rPr>
      </w:pPr>
      <w:bookmarkStart w:id="40" w:name="_Toc406932434"/>
      <w:r>
        <w:rPr>
          <w:rFonts w:hint="eastAsia"/>
          <w:b/>
          <w:bCs/>
        </w:rPr>
        <w:t>授予合同</w:t>
      </w:r>
      <w:bookmarkEnd w:id="40"/>
    </w:p>
    <w:p>
      <w:pPr>
        <w:numPr>
          <w:ilvl w:val="0"/>
          <w:numId w:val="28"/>
        </w:numPr>
        <w:tabs>
          <w:tab w:val="left" w:pos="780"/>
        </w:tabs>
        <w:spacing w:line="300" w:lineRule="auto"/>
      </w:pPr>
      <w:r>
        <w:rPr>
          <w:rFonts w:hint="eastAsia"/>
        </w:rPr>
        <w:t>领取《成交通知书》</w:t>
      </w:r>
      <w:r>
        <w:rPr>
          <w:b/>
          <w:u w:val="single"/>
        </w:rPr>
        <w:t>30</w:t>
      </w:r>
      <w:r>
        <w:rPr>
          <w:rFonts w:hint="eastAsia"/>
        </w:rPr>
        <w:t>天内，成交人与比选人签署合同协议书。</w:t>
      </w:r>
    </w:p>
    <w:p>
      <w:pPr>
        <w:numPr>
          <w:ilvl w:val="0"/>
          <w:numId w:val="28"/>
        </w:numPr>
        <w:tabs>
          <w:tab w:val="left" w:pos="780"/>
        </w:tabs>
        <w:spacing w:line="300" w:lineRule="auto"/>
      </w:pPr>
      <w:r>
        <w:rPr>
          <w:rFonts w:hint="eastAsia"/>
        </w:rPr>
        <w:t>合同协议书经双方法定代表人或其授权的代理人签署加盖公章后生效。</w:t>
      </w:r>
    </w:p>
    <w:p>
      <w:pPr>
        <w:numPr>
          <w:ilvl w:val="0"/>
          <w:numId w:val="28"/>
        </w:numPr>
        <w:tabs>
          <w:tab w:val="left" w:pos="780"/>
        </w:tabs>
        <w:spacing w:line="300" w:lineRule="auto"/>
      </w:pPr>
      <w:r>
        <w:rPr>
          <w:rFonts w:hint="eastAsia"/>
          <w:szCs w:val="21"/>
        </w:rPr>
        <w:t>比选人保留在授予合同时对项目范围予以增加或减少的权力。</w:t>
      </w:r>
    </w:p>
    <w:p>
      <w:pPr>
        <w:spacing w:line="300" w:lineRule="auto"/>
        <w:sectPr>
          <w:headerReference r:id="rId5" w:type="default"/>
          <w:footerReference r:id="rId6" w:type="default"/>
          <w:pgSz w:w="11907" w:h="16840"/>
          <w:pgMar w:top="1361" w:right="1191" w:bottom="1191" w:left="1361" w:header="851" w:footer="992" w:gutter="0"/>
          <w:pgNumType w:start="1"/>
          <w:cols w:space="720" w:num="1"/>
          <w:docGrid w:type="linesAndChars" w:linePitch="386" w:charSpace="-4597"/>
        </w:sectPr>
      </w:pPr>
      <w:bookmarkStart w:id="41" w:name="_Toc299012268"/>
      <w:bookmarkEnd w:id="41"/>
      <w:bookmarkStart w:id="42" w:name="_Toc299096371"/>
      <w:bookmarkEnd w:id="42"/>
      <w:bookmarkStart w:id="43" w:name="_Toc299012360"/>
      <w:bookmarkEnd w:id="43"/>
      <w:bookmarkStart w:id="44" w:name="_Toc299012314"/>
      <w:bookmarkEnd w:id="44"/>
      <w:bookmarkStart w:id="45" w:name="_Toc299096419"/>
      <w:bookmarkEnd w:id="45"/>
      <w:bookmarkStart w:id="46" w:name="_Toc299096291"/>
      <w:bookmarkEnd w:id="46"/>
    </w:p>
    <w:p>
      <w:pPr>
        <w:numPr>
          <w:ilvl w:val="0"/>
          <w:numId w:val="1"/>
        </w:numPr>
        <w:tabs>
          <w:tab w:val="left" w:pos="993"/>
          <w:tab w:val="left" w:pos="4716"/>
          <w:tab w:val="left" w:pos="7559"/>
        </w:tabs>
        <w:spacing w:line="300" w:lineRule="auto"/>
        <w:ind w:left="0" w:firstLine="0"/>
        <w:jc w:val="center"/>
        <w:outlineLvl w:val="0"/>
        <w:rPr>
          <w:b/>
          <w:sz w:val="30"/>
          <w:szCs w:val="30"/>
        </w:rPr>
      </w:pPr>
      <w:bookmarkStart w:id="47" w:name="_Toc406932436"/>
      <w:r>
        <w:rPr>
          <w:rFonts w:hint="eastAsia"/>
          <w:b/>
          <w:sz w:val="30"/>
          <w:szCs w:val="30"/>
        </w:rPr>
        <w:t xml:space="preserve">  报价文件格式</w:t>
      </w:r>
      <w:bookmarkEnd w:id="47"/>
    </w:p>
    <w:p>
      <w:pPr>
        <w:adjustRightInd w:val="0"/>
        <w:snapToGrid w:val="0"/>
        <w:spacing w:before="93" w:beforeLines="30" w:line="400" w:lineRule="exact"/>
        <w:ind w:firstLine="420" w:firstLineChars="200"/>
        <w:rPr>
          <w:szCs w:val="21"/>
        </w:rPr>
      </w:pPr>
      <w:r>
        <w:rPr>
          <w:rFonts w:hint="eastAsia"/>
          <w:szCs w:val="21"/>
        </w:rPr>
        <w:t>报价文件应包括但不限于以下各项内容，请按以下要求的顺序制作。</w:t>
      </w:r>
    </w:p>
    <w:p>
      <w:pPr>
        <w:numPr>
          <w:ilvl w:val="0"/>
          <w:numId w:val="29"/>
        </w:numPr>
        <w:tabs>
          <w:tab w:val="left" w:pos="420"/>
        </w:tabs>
        <w:spacing w:line="420" w:lineRule="auto"/>
      </w:pPr>
      <w:r>
        <w:rPr>
          <w:rFonts w:hint="eastAsia"/>
        </w:rPr>
        <w:t>报价函</w:t>
      </w:r>
    </w:p>
    <w:p>
      <w:pPr>
        <w:numPr>
          <w:ilvl w:val="0"/>
          <w:numId w:val="29"/>
        </w:numPr>
        <w:tabs>
          <w:tab w:val="left" w:pos="420"/>
        </w:tabs>
        <w:spacing w:line="420" w:lineRule="auto"/>
      </w:pPr>
      <w:r>
        <w:rPr>
          <w:rFonts w:hint="eastAsia"/>
        </w:rPr>
        <w:t>咨询服务费报价清单表</w:t>
      </w:r>
    </w:p>
    <w:p>
      <w:pPr>
        <w:numPr>
          <w:ilvl w:val="0"/>
          <w:numId w:val="29"/>
        </w:numPr>
        <w:tabs>
          <w:tab w:val="left" w:pos="420"/>
        </w:tabs>
        <w:spacing w:line="420" w:lineRule="auto"/>
      </w:pPr>
      <w:r>
        <w:rPr>
          <w:rFonts w:hint="eastAsia"/>
        </w:rPr>
        <w:t>法定代表人资格证明</w:t>
      </w:r>
    </w:p>
    <w:p>
      <w:pPr>
        <w:numPr>
          <w:ilvl w:val="0"/>
          <w:numId w:val="29"/>
        </w:numPr>
        <w:tabs>
          <w:tab w:val="left" w:pos="420"/>
        </w:tabs>
        <w:spacing w:line="420" w:lineRule="auto"/>
      </w:pPr>
      <w:r>
        <w:rPr>
          <w:rFonts w:hint="eastAsia"/>
        </w:rPr>
        <w:t>授权委托书</w:t>
      </w:r>
    </w:p>
    <w:p>
      <w:pPr>
        <w:numPr>
          <w:ilvl w:val="0"/>
          <w:numId w:val="29"/>
        </w:numPr>
        <w:tabs>
          <w:tab w:val="left" w:pos="420"/>
        </w:tabs>
        <w:spacing w:line="420" w:lineRule="auto"/>
      </w:pPr>
      <w:r>
        <w:rPr>
          <w:rFonts w:hint="eastAsia"/>
        </w:rPr>
        <w:t>营业执照</w:t>
      </w:r>
    </w:p>
    <w:p>
      <w:pPr>
        <w:numPr>
          <w:ilvl w:val="0"/>
          <w:numId w:val="29"/>
        </w:numPr>
        <w:tabs>
          <w:tab w:val="left" w:pos="420"/>
        </w:tabs>
        <w:spacing w:line="420" w:lineRule="auto"/>
      </w:pPr>
      <w:r>
        <w:rPr>
          <w:rFonts w:hint="eastAsia"/>
        </w:rPr>
        <w:t>资格证书</w:t>
      </w:r>
    </w:p>
    <w:p>
      <w:pPr>
        <w:numPr>
          <w:ilvl w:val="0"/>
          <w:numId w:val="29"/>
        </w:numPr>
        <w:tabs>
          <w:tab w:val="left" w:pos="420"/>
        </w:tabs>
        <w:spacing w:line="420" w:lineRule="auto"/>
        <w:rPr>
          <w:b/>
        </w:rPr>
      </w:pPr>
      <w:r>
        <w:rPr>
          <w:rFonts w:hint="eastAsia"/>
        </w:rPr>
        <w:t>近3年类似项目业绩</w:t>
      </w:r>
    </w:p>
    <w:p>
      <w:pPr>
        <w:numPr>
          <w:ilvl w:val="0"/>
          <w:numId w:val="29"/>
        </w:numPr>
        <w:tabs>
          <w:tab w:val="left" w:pos="420"/>
        </w:tabs>
        <w:spacing w:line="420" w:lineRule="auto"/>
        <w:rPr>
          <w:bCs/>
        </w:rPr>
      </w:pPr>
      <w:r>
        <w:rPr>
          <w:rFonts w:hint="eastAsia"/>
          <w:bCs/>
        </w:rPr>
        <w:t>项目负责人相关经验及业绩</w:t>
      </w:r>
    </w:p>
    <w:p>
      <w:pPr>
        <w:numPr>
          <w:ilvl w:val="0"/>
          <w:numId w:val="29"/>
        </w:numPr>
        <w:tabs>
          <w:tab w:val="left" w:pos="420"/>
        </w:tabs>
        <w:spacing w:line="420" w:lineRule="auto"/>
        <w:rPr>
          <w:bCs/>
        </w:rPr>
      </w:pPr>
      <w:r>
        <w:rPr>
          <w:rFonts w:hint="eastAsia"/>
          <w:bCs/>
        </w:rPr>
        <w:t>人员配备一览表</w:t>
      </w:r>
    </w:p>
    <w:p>
      <w:pPr>
        <w:numPr>
          <w:ilvl w:val="0"/>
          <w:numId w:val="29"/>
        </w:numPr>
        <w:tabs>
          <w:tab w:val="left" w:pos="420"/>
        </w:tabs>
        <w:spacing w:line="420" w:lineRule="auto"/>
        <w:rPr>
          <w:bCs/>
        </w:rPr>
      </w:pPr>
      <w:r>
        <w:rPr>
          <w:rFonts w:hint="eastAsia"/>
          <w:bCs/>
        </w:rPr>
        <w:t>工作方案</w:t>
      </w:r>
    </w:p>
    <w:p>
      <w:pPr>
        <w:tabs>
          <w:tab w:val="left" w:pos="993"/>
        </w:tabs>
        <w:spacing w:line="300" w:lineRule="auto"/>
        <w:ind w:firstLine="420" w:firstLineChars="200"/>
      </w:pPr>
      <w:r>
        <w:rPr>
          <w:rFonts w:hint="eastAsia"/>
        </w:rPr>
        <w:t>应包括服务内容及成果文件大纲，根据比选文件及报价人对项目的理解填写，格式自定。</w:t>
      </w:r>
    </w:p>
    <w:p>
      <w:pPr>
        <w:numPr>
          <w:ilvl w:val="0"/>
          <w:numId w:val="29"/>
        </w:numPr>
        <w:tabs>
          <w:tab w:val="left" w:pos="420"/>
        </w:tabs>
        <w:spacing w:line="420" w:lineRule="auto"/>
        <w:rPr>
          <w:bCs/>
        </w:rPr>
      </w:pPr>
      <w:r>
        <w:rPr>
          <w:rFonts w:hint="eastAsia"/>
          <w:bCs/>
        </w:rPr>
        <w:t>比选文件规定提交的其它资料，</w:t>
      </w:r>
      <w:r>
        <w:rPr>
          <w:rFonts w:hint="eastAsia"/>
        </w:rPr>
        <w:t>格式自定</w:t>
      </w:r>
      <w:r>
        <w:rPr>
          <w:rFonts w:hint="eastAsia"/>
          <w:bCs/>
        </w:rPr>
        <w:t>。</w:t>
      </w:r>
    </w:p>
    <w:p>
      <w:pPr>
        <w:pStyle w:val="4"/>
        <w:spacing w:line="360" w:lineRule="auto"/>
        <w:ind w:firstLine="480"/>
        <w:rPr>
          <w:rFonts w:ascii="Times New Roman" w:eastAsia="仿宋"/>
        </w:rPr>
      </w:pPr>
    </w:p>
    <w:p>
      <w:pPr>
        <w:pStyle w:val="4"/>
        <w:spacing w:line="360" w:lineRule="auto"/>
        <w:ind w:firstLine="480"/>
        <w:rPr>
          <w:rFonts w:ascii="Times New Roman" w:eastAsia="仿宋"/>
        </w:rPr>
      </w:pPr>
      <w:r>
        <w:rPr>
          <w:rFonts w:ascii="Times New Roman" w:eastAsia="仿宋"/>
        </w:rPr>
        <w:t>（以下表格格式仅供参考，报价人可根据实际情况调整。）</w:t>
      </w:r>
    </w:p>
    <w:p>
      <w:pPr>
        <w:spacing w:line="420" w:lineRule="auto"/>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500" w:lineRule="exact"/>
        <w:jc w:val="center"/>
        <w:rPr>
          <w:b/>
          <w:sz w:val="28"/>
          <w:szCs w:val="28"/>
        </w:rPr>
      </w:pPr>
      <w:r>
        <w:rPr>
          <w:rFonts w:hint="eastAsia"/>
          <w:b/>
          <w:sz w:val="28"/>
          <w:szCs w:val="28"/>
        </w:rPr>
        <w:t>一、报价函</w:t>
      </w:r>
    </w:p>
    <w:p>
      <w:pPr>
        <w:spacing w:line="500" w:lineRule="exact"/>
        <w:jc w:val="center"/>
        <w:rPr>
          <w:b/>
          <w:sz w:val="32"/>
          <w:szCs w:val="32"/>
        </w:rPr>
      </w:pPr>
    </w:p>
    <w:p>
      <w:pPr>
        <w:spacing w:line="500" w:lineRule="exact"/>
        <w:ind w:firstLine="105" w:firstLineChars="50"/>
      </w:pPr>
      <w:r>
        <w:rPr>
          <w:rFonts w:hint="eastAsia"/>
          <w:u w:val="single"/>
        </w:rPr>
        <w:t>广州市公共交通集团有限公司</w:t>
      </w:r>
      <w:r>
        <w:rPr>
          <w:rFonts w:hint="eastAsia"/>
        </w:rPr>
        <w:t>：</w:t>
      </w:r>
    </w:p>
    <w:p>
      <w:pPr>
        <w:spacing w:line="500" w:lineRule="exact"/>
        <w:ind w:firstLine="540"/>
      </w:pPr>
      <w:r>
        <w:rPr>
          <w:rFonts w:hint="eastAsia"/>
        </w:rPr>
        <w:t>我公司收到</w:t>
      </w:r>
      <w:r>
        <w:rPr>
          <w:rFonts w:hint="eastAsia"/>
          <w:u w:val="single"/>
        </w:rPr>
        <w:t>广州市公共交通集团有限公司大数据共享与管理平台建立项目</w:t>
      </w:r>
      <w:r>
        <w:rPr>
          <w:rFonts w:hint="eastAsia"/>
        </w:rPr>
        <w:t>比选文件，经详细研究，我公司决定参加报价。</w:t>
      </w:r>
    </w:p>
    <w:p>
      <w:pPr>
        <w:spacing w:line="500" w:lineRule="exact"/>
        <w:ind w:firstLine="480"/>
      </w:pPr>
      <w:r>
        <w:rPr>
          <w:rFonts w:hint="eastAsia"/>
        </w:rPr>
        <w:t>1、愿按照比选文件中的要求，提供比选所需的资料及技术服务。如果我公司的报价书被接受，我公司将履行比选文件中规定的每一项要求，按期、按质、按量完成</w:t>
      </w:r>
      <w:r>
        <w:rPr>
          <w:rFonts w:hint="eastAsia"/>
          <w:u w:val="single"/>
        </w:rPr>
        <w:t>大数据共享与管理平台监理</w:t>
      </w:r>
      <w:r>
        <w:rPr>
          <w:rFonts w:hint="eastAsia"/>
          <w:bCs/>
          <w:u w:val="single"/>
        </w:rPr>
        <w:t>服务</w:t>
      </w:r>
      <w:r>
        <w:rPr>
          <w:rFonts w:hint="eastAsia"/>
        </w:rPr>
        <w:t>任务。</w:t>
      </w:r>
    </w:p>
    <w:p>
      <w:pPr>
        <w:spacing w:line="500" w:lineRule="exact"/>
        <w:ind w:firstLine="480"/>
      </w:pPr>
      <w:r>
        <w:rPr>
          <w:rFonts w:hint="eastAsia"/>
        </w:rPr>
        <w:t>2、本次报价的总金额为人民币（大写）</w:t>
      </w:r>
      <w:r>
        <w:rPr>
          <w:rFonts w:hint="eastAsia"/>
          <w:u w:val="single"/>
        </w:rPr>
        <w:t xml:space="preserve">            </w:t>
      </w:r>
      <w:r>
        <w:rPr>
          <w:rFonts w:hint="eastAsia"/>
        </w:rPr>
        <w:t>元，（小写）</w:t>
      </w:r>
      <w:r>
        <w:rPr>
          <w:rFonts w:hint="eastAsia"/>
          <w:u w:val="single"/>
        </w:rPr>
        <w:t xml:space="preserve">           </w:t>
      </w:r>
      <w:r>
        <w:rPr>
          <w:rFonts w:hint="eastAsia"/>
        </w:rPr>
        <w:t>。（包括完成该项目成本[含人工、差旅、交通、食宿、人员补贴等]、企业税费、利润、保险、技术措施费、风险费、政策性文件规定费用等所有的费用）</w:t>
      </w:r>
    </w:p>
    <w:p>
      <w:pPr>
        <w:spacing w:line="500" w:lineRule="exact"/>
        <w:ind w:firstLine="480"/>
      </w:pPr>
      <w:r>
        <w:rPr>
          <w:rFonts w:hint="eastAsia"/>
        </w:rPr>
        <w:t>3、我公司保证报价在后期合同执行过程中保持不变。</w:t>
      </w:r>
    </w:p>
    <w:p>
      <w:pPr>
        <w:tabs>
          <w:tab w:val="left" w:pos="1080"/>
        </w:tabs>
        <w:snapToGrid w:val="0"/>
        <w:spacing w:line="500" w:lineRule="exact"/>
        <w:ind w:firstLine="420" w:firstLineChars="200"/>
        <w:rPr>
          <w:rFonts w:cs="Courier New"/>
          <w:snapToGrid w:val="0"/>
        </w:rPr>
      </w:pPr>
      <w:r>
        <w:rPr>
          <w:rFonts w:hint="eastAsia"/>
        </w:rPr>
        <w:t>4、我公司</w:t>
      </w:r>
      <w:r>
        <w:rPr>
          <w:rFonts w:hint="eastAsia" w:cs="Courier New"/>
          <w:snapToGrid w:val="0"/>
        </w:rPr>
        <w:t>认为贵公司有选择或拒绝任何报价者成交的权利。</w:t>
      </w:r>
    </w:p>
    <w:p>
      <w:pPr>
        <w:spacing w:line="500" w:lineRule="exact"/>
        <w:ind w:firstLine="480"/>
      </w:pPr>
      <w:r>
        <w:rPr>
          <w:rFonts w:hint="eastAsia"/>
        </w:rPr>
        <w:t>6、我公司承诺该项报价在开标后的全过程中保持有效。</w:t>
      </w:r>
    </w:p>
    <w:p>
      <w:pPr>
        <w:spacing w:line="500" w:lineRule="exact"/>
        <w:ind w:firstLine="480"/>
      </w:pPr>
      <w:r>
        <w:rPr>
          <w:rFonts w:hint="eastAsia"/>
        </w:rPr>
        <w:t>7、本报价文件和成交通知书将构成约束我们双方的合同的一部分</w:t>
      </w:r>
    </w:p>
    <w:p>
      <w:pPr>
        <w:spacing w:line="420" w:lineRule="auto"/>
        <w:ind w:left="420"/>
      </w:pPr>
    </w:p>
    <w:p>
      <w:pPr>
        <w:spacing w:line="500" w:lineRule="exact"/>
        <w:ind w:firstLine="3570" w:firstLineChars="1700"/>
      </w:pPr>
      <w:r>
        <w:rPr>
          <w:rFonts w:hint="eastAsia"/>
        </w:rPr>
        <w:t>报价单位：</w:t>
      </w:r>
      <w:r>
        <w:rPr>
          <w:rFonts w:hint="eastAsia"/>
          <w:u w:val="single"/>
        </w:rPr>
        <w:t xml:space="preserve">                        </w:t>
      </w:r>
      <w:r>
        <w:rPr>
          <w:rFonts w:hint="eastAsia"/>
        </w:rPr>
        <w:t xml:space="preserve"> </w:t>
      </w:r>
    </w:p>
    <w:p>
      <w:pPr>
        <w:spacing w:line="500" w:lineRule="exact"/>
        <w:ind w:firstLine="3570" w:firstLineChars="1700"/>
        <w:rPr>
          <w:u w:val="single"/>
        </w:rPr>
      </w:pPr>
      <w:r>
        <w:rPr>
          <w:rFonts w:hint="eastAsia"/>
        </w:rPr>
        <w:t>法定代表人或委托代理人：</w:t>
      </w:r>
      <w:r>
        <w:rPr>
          <w:rFonts w:hint="eastAsia"/>
          <w:u w:val="single"/>
        </w:rPr>
        <w:t>（签字或盖章）</w:t>
      </w:r>
    </w:p>
    <w:p>
      <w:pPr>
        <w:spacing w:line="500" w:lineRule="exact"/>
        <w:ind w:firstLine="3570" w:firstLineChars="1700"/>
      </w:pPr>
      <w:r>
        <w:rPr>
          <w:rFonts w:hint="eastAsia"/>
        </w:rPr>
        <w:t>日期：</w:t>
      </w:r>
    </w:p>
    <w:p>
      <w:pPr>
        <w:spacing w:line="300" w:lineRule="auto"/>
      </w:pPr>
    </w:p>
    <w:p>
      <w:pPr>
        <w:spacing w:line="500" w:lineRule="exact"/>
      </w:pPr>
      <w:r>
        <w:rPr>
          <w:rFonts w:hint="eastAsia"/>
        </w:rPr>
        <w:fldChar w:fldCharType="begin"/>
      </w:r>
      <w:r>
        <w:rPr>
          <w:rFonts w:hint="eastAsia"/>
        </w:rPr>
        <w:instrText xml:space="preserve"> eq \o\ad(地    址,　　　　)</w:instrText>
      </w:r>
      <w:r>
        <w:rPr>
          <w:rFonts w:hint="eastAsia"/>
        </w:rPr>
        <w:fldChar w:fldCharType="end"/>
      </w:r>
      <w:r>
        <w:rPr>
          <w:rFonts w:hint="eastAsia"/>
        </w:rPr>
        <w:t>：</w:t>
      </w:r>
    </w:p>
    <w:p>
      <w:pPr>
        <w:spacing w:line="500" w:lineRule="exact"/>
      </w:pPr>
      <w:r>
        <w:rPr>
          <w:rFonts w:hint="eastAsia"/>
        </w:rPr>
        <w:fldChar w:fldCharType="begin"/>
      </w:r>
      <w:r>
        <w:rPr>
          <w:rFonts w:hint="eastAsia"/>
        </w:rPr>
        <w:instrText xml:space="preserve"> eq \o\ad(电    话,　　　　)</w:instrText>
      </w:r>
      <w:r>
        <w:rPr>
          <w:rFonts w:hint="eastAsia"/>
        </w:rPr>
        <w:fldChar w:fldCharType="end"/>
      </w:r>
      <w:r>
        <w:rPr>
          <w:rFonts w:hint="eastAsia"/>
        </w:rPr>
        <w:t>：</w:t>
      </w:r>
    </w:p>
    <w:p>
      <w:pPr>
        <w:spacing w:line="500" w:lineRule="exact"/>
      </w:pPr>
      <w:r>
        <w:rPr>
          <w:rFonts w:hint="eastAsia"/>
        </w:rPr>
        <w:fldChar w:fldCharType="begin"/>
      </w:r>
      <w:r>
        <w:rPr>
          <w:rFonts w:hint="eastAsia"/>
        </w:rPr>
        <w:instrText xml:space="preserve"> eq \o\ad(传    真,　　　　)</w:instrText>
      </w:r>
      <w:r>
        <w:rPr>
          <w:rFonts w:hint="eastAsia"/>
        </w:rPr>
        <w:fldChar w:fldCharType="end"/>
      </w:r>
      <w:r>
        <w:rPr>
          <w:rFonts w:hint="eastAsia"/>
        </w:rPr>
        <w:t>：</w:t>
      </w:r>
    </w:p>
    <w:p>
      <w:pPr>
        <w:spacing w:line="500" w:lineRule="exact"/>
      </w:pPr>
      <w:r>
        <w:rPr>
          <w:rFonts w:hint="eastAsia"/>
        </w:rPr>
        <w:fldChar w:fldCharType="begin"/>
      </w:r>
      <w:r>
        <w:rPr>
          <w:rFonts w:hint="eastAsia"/>
        </w:rPr>
        <w:instrText xml:space="preserve"> eq \o\ad(邮政编码,　　　　)</w:instrText>
      </w:r>
      <w:r>
        <w:rPr>
          <w:rFonts w:hint="eastAsia"/>
        </w:rPr>
        <w:fldChar w:fldCharType="end"/>
      </w:r>
      <w:r>
        <w:rPr>
          <w:rFonts w:hint="eastAsia"/>
        </w:rPr>
        <w:t>：</w:t>
      </w:r>
    </w:p>
    <w:p>
      <w:pPr>
        <w:spacing w:line="500" w:lineRule="exact"/>
      </w:pPr>
      <w:r>
        <w:rPr>
          <w:rFonts w:hint="eastAsia"/>
        </w:rPr>
        <w:fldChar w:fldCharType="begin"/>
      </w:r>
      <w:r>
        <w:rPr>
          <w:rFonts w:hint="eastAsia"/>
        </w:rPr>
        <w:instrText xml:space="preserve"> eq \o\ad(联 系 人,　　　　)</w:instrText>
      </w:r>
      <w:r>
        <w:rPr>
          <w:rFonts w:hint="eastAsia"/>
        </w:rPr>
        <w:fldChar w:fldCharType="end"/>
      </w:r>
      <w:r>
        <w:rPr>
          <w:rFonts w:hint="eastAsia"/>
        </w:rPr>
        <w:t>：</w:t>
      </w:r>
    </w:p>
    <w:p>
      <w:pPr>
        <w:spacing w:line="500" w:lineRule="exact"/>
      </w:pPr>
    </w:p>
    <w:p>
      <w:pPr>
        <w:spacing w:line="500" w:lineRule="exact"/>
        <w:jc w:val="center"/>
        <w:rPr>
          <w:b/>
          <w:sz w:val="32"/>
        </w:rPr>
      </w:pPr>
    </w:p>
    <w:p>
      <w:pPr>
        <w:spacing w:line="500" w:lineRule="exact"/>
        <w:jc w:val="center"/>
        <w:rPr>
          <w:b/>
          <w:sz w:val="32"/>
        </w:rPr>
      </w:pPr>
    </w:p>
    <w:p>
      <w:pPr>
        <w:spacing w:line="360" w:lineRule="auto"/>
        <w:jc w:val="center"/>
        <w:rPr>
          <w:b/>
          <w:bCs/>
          <w:sz w:val="28"/>
          <w:szCs w:val="28"/>
        </w:rPr>
      </w:pPr>
      <w:r>
        <w:rPr>
          <w:rFonts w:hint="eastAsia"/>
          <w:b/>
          <w:bCs/>
          <w:sz w:val="28"/>
          <w:szCs w:val="28"/>
        </w:rPr>
        <w:t>二、咨询服务费报价清单表</w:t>
      </w:r>
    </w:p>
    <w:tbl>
      <w:tblPr>
        <w:tblStyle w:val="9"/>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9"/>
        <w:gridCol w:w="2062"/>
        <w:gridCol w:w="4912"/>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blHeader/>
        </w:trPr>
        <w:tc>
          <w:tcPr>
            <w:tcW w:w="789" w:type="dxa"/>
            <w:vAlign w:val="center"/>
          </w:tcPr>
          <w:p>
            <w:pPr>
              <w:jc w:val="center"/>
              <w:rPr>
                <w:b/>
                <w:bCs/>
              </w:rPr>
            </w:pPr>
            <w:r>
              <w:rPr>
                <w:rFonts w:hint="eastAsia"/>
                <w:b/>
                <w:bCs/>
              </w:rPr>
              <w:t>序号</w:t>
            </w:r>
          </w:p>
        </w:tc>
        <w:tc>
          <w:tcPr>
            <w:tcW w:w="2062" w:type="dxa"/>
            <w:vAlign w:val="center"/>
          </w:tcPr>
          <w:p>
            <w:pPr>
              <w:jc w:val="center"/>
              <w:rPr>
                <w:b/>
                <w:bCs/>
              </w:rPr>
            </w:pPr>
            <w:r>
              <w:rPr>
                <w:rFonts w:hint="eastAsia"/>
                <w:b/>
                <w:bCs/>
              </w:rPr>
              <w:t>工作项目</w:t>
            </w:r>
          </w:p>
        </w:tc>
        <w:tc>
          <w:tcPr>
            <w:tcW w:w="4912" w:type="dxa"/>
            <w:vAlign w:val="center"/>
          </w:tcPr>
          <w:p>
            <w:pPr>
              <w:jc w:val="center"/>
              <w:rPr>
                <w:b/>
                <w:bCs/>
              </w:rPr>
            </w:pPr>
            <w:r>
              <w:rPr>
                <w:rFonts w:hint="eastAsia"/>
                <w:b/>
                <w:bCs/>
              </w:rPr>
              <w:t>工作内容</w:t>
            </w:r>
          </w:p>
        </w:tc>
        <w:tc>
          <w:tcPr>
            <w:tcW w:w="1559" w:type="dxa"/>
            <w:vAlign w:val="center"/>
          </w:tcPr>
          <w:p>
            <w:pPr>
              <w:jc w:val="center"/>
              <w:rPr>
                <w:b/>
                <w:bCs/>
              </w:rPr>
            </w:pPr>
            <w:r>
              <w:rPr>
                <w:rFonts w:hint="eastAsia"/>
                <w:b/>
                <w:bCs/>
              </w:rPr>
              <w:t>费用（万元）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1</w:t>
            </w:r>
          </w:p>
        </w:tc>
        <w:tc>
          <w:tcPr>
            <w:tcW w:w="2062" w:type="dxa"/>
            <w:vAlign w:val="center"/>
          </w:tcPr>
          <w:p>
            <w:pPr>
              <w:jc w:val="center"/>
            </w:pPr>
            <w:r>
              <w:rPr>
                <w:rFonts w:hint="eastAsia"/>
              </w:rPr>
              <w:t>前期准备工作</w:t>
            </w:r>
          </w:p>
        </w:tc>
        <w:tc>
          <w:tcPr>
            <w:tcW w:w="4912" w:type="dxa"/>
            <w:vAlign w:val="center"/>
          </w:tcPr>
          <w:p>
            <w:pPr/>
            <w:r>
              <w:rPr>
                <w:rFonts w:hint="eastAsia"/>
              </w:rPr>
              <w:t>制定工作原则、方案及内容</w:t>
            </w: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2</w:t>
            </w:r>
          </w:p>
        </w:tc>
        <w:tc>
          <w:tcPr>
            <w:tcW w:w="2062" w:type="dxa"/>
            <w:vAlign w:val="center"/>
          </w:tcPr>
          <w:p>
            <w:pPr>
              <w:jc w:val="center"/>
            </w:pPr>
            <w:r>
              <w:rPr>
                <w:rFonts w:hint="eastAsia"/>
              </w:rPr>
              <w:t>项目建设过程监理方案</w:t>
            </w: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3</w:t>
            </w:r>
          </w:p>
        </w:tc>
        <w:tc>
          <w:tcPr>
            <w:tcW w:w="2062" w:type="dxa"/>
            <w:vAlign w:val="center"/>
          </w:tcPr>
          <w:p>
            <w:pPr>
              <w:jc w:val="center"/>
            </w:pPr>
            <w:r>
              <w:rPr>
                <w:rFonts w:hint="eastAsia"/>
              </w:rPr>
              <w:t>项目验收监理方案</w:t>
            </w: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4</w:t>
            </w:r>
          </w:p>
        </w:tc>
        <w:tc>
          <w:tcPr>
            <w:tcW w:w="2062" w:type="dxa"/>
            <w:vAlign w:val="center"/>
          </w:tcPr>
          <w:p>
            <w:pPr>
              <w:jc w:val="center"/>
            </w:pP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5</w:t>
            </w:r>
          </w:p>
        </w:tc>
        <w:tc>
          <w:tcPr>
            <w:tcW w:w="2062" w:type="dxa"/>
            <w:vAlign w:val="center"/>
          </w:tcPr>
          <w:p>
            <w:pPr>
              <w:jc w:val="center"/>
            </w:pP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6</w:t>
            </w:r>
          </w:p>
        </w:tc>
        <w:tc>
          <w:tcPr>
            <w:tcW w:w="2062" w:type="dxa"/>
            <w:vAlign w:val="center"/>
          </w:tcPr>
          <w:p>
            <w:pPr>
              <w:jc w:val="center"/>
            </w:pP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89" w:type="dxa"/>
            <w:vAlign w:val="center"/>
          </w:tcPr>
          <w:p>
            <w:pPr>
              <w:jc w:val="center"/>
            </w:pPr>
            <w:r>
              <w:rPr>
                <w:rFonts w:hint="eastAsia"/>
              </w:rPr>
              <w:t>7</w:t>
            </w:r>
          </w:p>
        </w:tc>
        <w:tc>
          <w:tcPr>
            <w:tcW w:w="2062" w:type="dxa"/>
            <w:vAlign w:val="center"/>
          </w:tcPr>
          <w:p>
            <w:pPr>
              <w:jc w:val="center"/>
            </w:pPr>
          </w:p>
        </w:tc>
        <w:tc>
          <w:tcPr>
            <w:tcW w:w="4912" w:type="dxa"/>
            <w:vAlign w:val="center"/>
          </w:tcPr>
          <w:p>
            <w:pPr/>
          </w:p>
        </w:tc>
        <w:tc>
          <w:tcPr>
            <w:tcW w:w="1559" w:type="dxa"/>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7763" w:type="dxa"/>
            <w:gridSpan w:val="3"/>
            <w:vAlign w:val="center"/>
          </w:tcPr>
          <w:p>
            <w:pPr>
              <w:jc w:val="center"/>
            </w:pPr>
            <w:r>
              <w:rPr>
                <w:rFonts w:hint="eastAsia"/>
              </w:rPr>
              <w:t>合计</w:t>
            </w:r>
          </w:p>
        </w:tc>
        <w:tc>
          <w:tcPr>
            <w:tcW w:w="1559" w:type="dxa"/>
            <w:vAlign w:val="center"/>
          </w:tcPr>
          <w:p>
            <w:pPr>
              <w:jc w:val="center"/>
            </w:pPr>
          </w:p>
        </w:tc>
      </w:tr>
    </w:tbl>
    <w:p>
      <w:pPr>
        <w:jc w:val="left"/>
      </w:pPr>
      <w:r>
        <w:rPr>
          <w:rFonts w:hint="eastAsia"/>
        </w:rPr>
        <w:t>注：成果文件应满足比选文件第二章第五点“项目范围”和第六点“比选范围”的内容。投标人可根据以上招标内容自行填报。</w:t>
      </w:r>
    </w:p>
    <w:p>
      <w:pPr>
        <w:spacing w:line="500" w:lineRule="exact"/>
        <w:ind w:firstLine="3570" w:firstLineChars="1700"/>
      </w:pPr>
      <w:r>
        <w:rPr>
          <w:rFonts w:hint="eastAsia"/>
        </w:rPr>
        <w:t>报价单位：</w:t>
      </w:r>
      <w:r>
        <w:rPr>
          <w:rFonts w:hint="eastAsia"/>
          <w:u w:val="single"/>
        </w:rPr>
        <w:t xml:space="preserve">                        </w:t>
      </w:r>
      <w:r>
        <w:rPr>
          <w:rFonts w:hint="eastAsia"/>
        </w:rPr>
        <w:t xml:space="preserve"> </w:t>
      </w:r>
    </w:p>
    <w:p>
      <w:pPr>
        <w:spacing w:line="500" w:lineRule="exact"/>
        <w:ind w:firstLine="3570" w:firstLineChars="1700"/>
        <w:rPr>
          <w:u w:val="single"/>
        </w:rPr>
      </w:pPr>
      <w:r>
        <w:rPr>
          <w:rFonts w:hint="eastAsia"/>
        </w:rPr>
        <w:t>法定代表人或委托代理人：</w:t>
      </w:r>
      <w:r>
        <w:rPr>
          <w:rFonts w:hint="eastAsia"/>
          <w:u w:val="single"/>
        </w:rPr>
        <w:t>（签字或盖章）</w:t>
      </w:r>
    </w:p>
    <w:p>
      <w:pPr>
        <w:spacing w:line="420" w:lineRule="auto"/>
      </w:pPr>
      <w:r>
        <w:rPr>
          <w:rFonts w:hint="eastAsia"/>
        </w:rPr>
        <w:t xml:space="preserve">                                  日期：</w:t>
      </w:r>
    </w:p>
    <w:p>
      <w:pPr>
        <w:spacing w:line="420" w:lineRule="auto"/>
      </w:pPr>
    </w:p>
    <w:p>
      <w:pPr>
        <w:spacing w:line="420" w:lineRule="auto"/>
      </w:pPr>
    </w:p>
    <w:p>
      <w:pPr>
        <w:spacing w:line="420" w:lineRule="auto"/>
      </w:pPr>
    </w:p>
    <w:p>
      <w:pPr>
        <w:spacing w:line="420" w:lineRule="auto"/>
        <w:jc w:val="center"/>
        <w:rPr>
          <w:b/>
          <w:bCs/>
          <w:sz w:val="28"/>
          <w:szCs w:val="28"/>
        </w:rPr>
      </w:pPr>
      <w:r>
        <w:rPr>
          <w:rFonts w:hint="eastAsia"/>
          <w:b/>
          <w:bCs/>
          <w:sz w:val="28"/>
          <w:szCs w:val="28"/>
        </w:rPr>
        <w:t>三、法定代表人资格证明</w:t>
      </w:r>
    </w:p>
    <w:p>
      <w:pPr>
        <w:spacing w:line="420" w:lineRule="auto"/>
      </w:pPr>
    </w:p>
    <w:p>
      <w:pPr>
        <w:spacing w:line="300" w:lineRule="auto"/>
      </w:pPr>
      <w:r>
        <w:rPr>
          <w:rFonts w:hint="eastAsia"/>
        </w:rPr>
        <w:tab/>
      </w:r>
      <w:r>
        <w:rPr>
          <w:rFonts w:hint="eastAsia"/>
        </w:rPr>
        <w:t>我</w:t>
      </w:r>
      <w:r>
        <w:t xml:space="preserve"> </w:t>
      </w:r>
      <w:r>
        <w:rPr>
          <w:u w:val="single"/>
        </w:rPr>
        <w:t xml:space="preserve">  （姓名）</w:t>
      </w:r>
      <w:r>
        <w:rPr>
          <w:rFonts w:hint="eastAsia"/>
          <w:u w:val="single"/>
        </w:rPr>
        <w:t xml:space="preserve">  </w:t>
      </w:r>
      <w:r>
        <w:t xml:space="preserve">系 </w:t>
      </w:r>
      <w:r>
        <w:rPr>
          <w:u w:val="single"/>
        </w:rPr>
        <w:t xml:space="preserve">        （报价人名称）           </w:t>
      </w:r>
      <w:r>
        <w:t>的法定代表人，以本公司的名义参加</w:t>
      </w:r>
      <w:r>
        <w:rPr>
          <w:rFonts w:hint="eastAsia"/>
          <w:u w:val="single"/>
        </w:rPr>
        <w:t>广州市公共交通集团有限公司大数据共享与管理平台监理</w:t>
      </w:r>
      <w:r>
        <w:rPr>
          <w:u w:val="single"/>
        </w:rPr>
        <w:t>项目</w:t>
      </w:r>
      <w:r>
        <w:t>报价活动。并在报价和合同谈判中签署一切文件和处理与之有关的一切事务。特此证明</w:t>
      </w:r>
      <w:r>
        <w:rPr>
          <w:rFonts w:hint="eastAsia"/>
        </w:rPr>
        <w:t>。</w:t>
      </w:r>
    </w:p>
    <w:p>
      <w:pPr>
        <w:spacing w:line="420" w:lineRule="auto"/>
      </w:pPr>
    </w:p>
    <w:p>
      <w:pPr>
        <w:spacing w:line="420" w:lineRule="auto"/>
        <w:ind w:firstLine="3360" w:firstLineChars="1600"/>
      </w:pPr>
      <w:r>
        <w:rPr>
          <w:rFonts w:hint="eastAsia"/>
        </w:rPr>
        <w:t>报价人：（盖章）</w:t>
      </w:r>
    </w:p>
    <w:p>
      <w:pPr>
        <w:spacing w:line="420" w:lineRule="auto"/>
        <w:ind w:firstLine="3900"/>
      </w:pPr>
      <w:r>
        <w:rPr>
          <w:rFonts w:hint="eastAsia"/>
        </w:rPr>
        <w:t>日期：         年        月         日</w:t>
      </w:r>
    </w:p>
    <w:p>
      <w:pPr>
        <w:spacing w:line="420" w:lineRule="auto"/>
        <w:ind w:firstLine="3900"/>
      </w:pPr>
    </w:p>
    <w:p>
      <w:pPr>
        <w:spacing w:line="420" w:lineRule="auto"/>
        <w:ind w:firstLine="3900"/>
      </w:pPr>
    </w:p>
    <w:p>
      <w:pPr>
        <w:spacing w:line="420" w:lineRule="auto"/>
        <w:ind w:firstLine="3900"/>
      </w:pPr>
      <w:r>
        <mc:AlternateContent>
          <mc:Choice Requires="wps">
            <w:drawing>
              <wp:anchor distT="0" distB="0" distL="114300" distR="114300" simplePos="0" relativeHeight="251658240" behindDoc="0" locked="0" layoutInCell="1" allowOverlap="1">
                <wp:simplePos x="0" y="0"/>
                <wp:positionH relativeFrom="column">
                  <wp:posOffset>346075</wp:posOffset>
                </wp:positionH>
                <wp:positionV relativeFrom="paragraph">
                  <wp:posOffset>29210</wp:posOffset>
                </wp:positionV>
                <wp:extent cx="4775835" cy="3124200"/>
                <wp:effectExtent l="4445" t="4445" r="20320" b="889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775835" cy="3124200"/>
                        </a:xfrm>
                        <a:prstGeom prst="rect">
                          <a:avLst/>
                        </a:prstGeom>
                        <a:solidFill>
                          <a:srgbClr val="FFFFFF"/>
                        </a:solidFill>
                        <a:ln w="9525">
                          <a:solidFill>
                            <a:srgbClr val="000000"/>
                          </a:solidFill>
                          <a:miter lim="800000"/>
                        </a:ln>
                        <a:effectLst/>
                      </wps:spPr>
                      <wps:txbx>
                        <w:txbxContent>
                          <w:p>
                            <w:pPr/>
                            <w:r>
                              <w:rPr>
                                <w:rFonts w:hint="eastAsia"/>
                              </w:rPr>
                              <w:t>附法定代表人身份证：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25pt;margin-top:2.3pt;height:246pt;width:376.05pt;z-index:251658240;mso-width-relative:page;mso-height-relative:page;" fillcolor="#FFFFFF" filled="t" stroked="t" coordsize="21600,21600" o:gfxdata="UEsDBAoAAAAAAIdO4kAAAAAAAAAAAAAAAAAEAAAAZHJzL1BLAwQUAAAACACHTuJAE7nQ4NYAAAAI&#10;AQAADwAAAGRycy9kb3ducmV2LnhtbE2PwU7DMBBE70j8g7VIXBC1C2mahjg9IIHgBgWVqxtvkwh7&#10;HWI3LX/PcoLbjGY0+7Zan7wTE46xD6RhPlMgkJpge2o1vL89XBcgYjJkjQuEGr4xwro+P6tMacOR&#10;XnHapFbwCMXSaOhSGkopY9OhN3EWBiTO9mH0JrEdW2lHc+Rx7+SNUrn0pie+0JkB7ztsPjcHr6HI&#10;nqaP+Hz7sm3yvVulq+X0+DVqfXkxV3cgEp7SXxl+8RkdambahQPZKJyGRbbgpoYsB8FxoXIWO/Yr&#10;FrKu5P8H6h9QSwMEFAAAAAgAh07iQL048XItAgAASAQAAA4AAABkcnMvZTJvRG9jLnhtbK1UzY7T&#10;MBC+I/EOlu80bbal3ajpaumqCGn5kRYewHWcxMLxGNttUh6AfQNOXLjzXH0Oxk62lL8LIgfL4xl/&#10;M/N94yyvukaRvbBOgs7pZDSmRGgOhdRVTt+93TxZUOI80wVToEVOD8LRq9XjR8vWZCKFGlQhLEEQ&#10;7bLW5LT23mRJ4ngtGuZGYIRGZwm2YR5NWyWFZS2iNypJx+OnSQu2MBa4cA5Pb3onXUX8shTcvy5L&#10;JzxROcXafFxtXLdhTVZLllWWmVryoQz2D1U0TGpMeoK6YZ6RnZW/QTWSW3BQ+hGHJoGylFzEHrCb&#10;yfiXbu5qZkTsBclx5kST+3+w/NX+jSWyyGlKiWYNSnT8fH/88u349RNJAz2tcRlG3RmM890z6FDm&#10;2Kozt8DfO6JhXTNdiWtroa0FK7C8SbiZnF3tcVwA2bYvocA8bOchAnWlbQJ3yAZBdJTpcJJGdJ5w&#10;PJzO57PFxYwSjr6LSTpF8WMOlj1cN9b55wIaEjY5tah9hGf7W+dDOSx7CAnZHChZbKRS0bDVdq0s&#10;2TOck038BvSfwpQmbU4vZ+msZ+CvEOP4/QmikR4HXskmp4vzIKVDHSKO7FBvoC8w1nPnu203yLGF&#10;4oBEWujHGZ8fbmqwHylpcZRz6j7smBWUqBcaxbicTKdh9qMxnc1TNOy5Z3vuYZojVE49Jf127fv3&#10;sjNWVjVm6uXXcI0CljJSG0rtqxpkx3GNjA9PK7yHcztG/fgBrL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E7nQ4NYAAAAIAQAADwAAAAAAAAABACAAAAAiAAAAZHJzL2Rvd25yZXYueG1sUEsBAhQA&#10;FAAAAAgAh07iQL048XItAgAASAQAAA4AAAAAAAAAAQAgAAAAJQEAAGRycy9lMm9Eb2MueG1sUEsF&#10;BgAAAAAGAAYAWQEAAMQFAAAAAA==&#10;">
                <v:fill on="t" focussize="0,0"/>
                <v:stroke color="#000000" miterlimit="8" joinstyle="miter"/>
                <v:imagedata o:title=""/>
                <o:lock v:ext="edit" aspectratio="f"/>
                <v:textbox>
                  <w:txbxContent>
                    <w:p>
                      <w:pPr/>
                      <w:r>
                        <w:rPr>
                          <w:rFonts w:hint="eastAsia"/>
                        </w:rPr>
                        <w:t>附法定代表人身份证：</w:t>
                      </w:r>
                    </w:p>
                  </w:txbxContent>
                </v:textbox>
              </v:shape>
            </w:pict>
          </mc:Fallback>
        </mc:AlternateContent>
      </w: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ind w:firstLine="3582" w:firstLineChars="995"/>
        <w:rPr>
          <w:b/>
          <w:bCs/>
          <w:sz w:val="36"/>
        </w:rPr>
      </w:pPr>
    </w:p>
    <w:p>
      <w:pPr>
        <w:spacing w:line="420" w:lineRule="auto"/>
        <w:jc w:val="center"/>
        <w:rPr>
          <w:b/>
          <w:bCs/>
          <w:sz w:val="28"/>
          <w:szCs w:val="28"/>
        </w:rPr>
      </w:pPr>
      <w:r>
        <w:rPr>
          <w:rFonts w:hint="eastAsia"/>
          <w:b/>
          <w:bCs/>
          <w:sz w:val="28"/>
          <w:szCs w:val="28"/>
        </w:rPr>
        <w:t>四、授权委托书</w:t>
      </w:r>
    </w:p>
    <w:p>
      <w:pPr>
        <w:spacing w:line="420" w:lineRule="auto"/>
        <w:rPr>
          <w:b/>
          <w:bCs/>
        </w:rPr>
      </w:pPr>
    </w:p>
    <w:p>
      <w:pPr>
        <w:spacing w:before="240" w:line="300" w:lineRule="auto"/>
      </w:pPr>
      <w:r>
        <w:rPr>
          <w:rFonts w:hint="eastAsia"/>
        </w:rPr>
        <w:tab/>
      </w:r>
      <w:r>
        <w:rPr>
          <w:rFonts w:hint="eastAsia"/>
        </w:rPr>
        <w:t xml:space="preserve"> 本授权委托书声明：我</w:t>
      </w:r>
      <w:r>
        <w:rPr>
          <w:rFonts w:hint="eastAsia"/>
          <w:u w:val="single"/>
        </w:rPr>
        <w:t xml:space="preserve">          </w:t>
      </w:r>
      <w:r>
        <w:rPr>
          <w:rFonts w:hint="eastAsia"/>
        </w:rPr>
        <w:t>（姓名）系</w:t>
      </w:r>
      <w:r>
        <w:rPr>
          <w:rFonts w:hint="eastAsia"/>
          <w:u w:val="single"/>
        </w:rPr>
        <w:t xml:space="preserve">                </w:t>
      </w:r>
      <w:r>
        <w:rPr>
          <w:rFonts w:hint="eastAsia"/>
        </w:rPr>
        <w:t>（报价人名称）的法定代表人，现授权委托</w:t>
      </w:r>
      <w:r>
        <w:rPr>
          <w:rFonts w:hint="eastAsia"/>
          <w:u w:val="single"/>
        </w:rPr>
        <w:t xml:space="preserve">         </w:t>
      </w:r>
      <w:r>
        <w:rPr>
          <w:rFonts w:hint="eastAsia"/>
        </w:rPr>
        <w:t>（姓名）为我公司代表人，以本公司的名义参与</w:t>
      </w:r>
      <w:r>
        <w:rPr>
          <w:rFonts w:hint="eastAsia"/>
          <w:u w:val="single"/>
        </w:rPr>
        <w:t xml:space="preserve">                             </w:t>
      </w:r>
      <w:r>
        <w:rPr>
          <w:rFonts w:hint="eastAsia"/>
        </w:rPr>
        <w:t>项目报价活动。报价代理人在报价和合同谈判中签署一切文件和处理与之有关的一切事务，我均予以承认。代理人无转委权，特此委托。</w:t>
      </w:r>
    </w:p>
    <w:p>
      <w:pPr>
        <w:spacing w:before="240" w:line="300" w:lineRule="auto"/>
        <w:ind w:firstLine="3990" w:firstLineChars="1900"/>
      </w:pPr>
      <w:r>
        <w:rPr>
          <w:rFonts w:hint="eastAsia"/>
        </w:rPr>
        <w:t>报价人：</w:t>
      </w:r>
      <w:r>
        <w:rPr>
          <w:rFonts w:hint="eastAsia"/>
          <w:u w:val="single"/>
        </w:rPr>
        <w:t xml:space="preserve">   </w:t>
      </w:r>
      <w:r>
        <w:rPr>
          <w:u w:val="single"/>
        </w:rPr>
        <w:t xml:space="preserve">         </w:t>
      </w:r>
      <w:r>
        <w:rPr>
          <w:rFonts w:hint="eastAsia"/>
          <w:u w:val="single"/>
        </w:rPr>
        <w:t xml:space="preserve">（盖章）          </w:t>
      </w:r>
    </w:p>
    <w:p>
      <w:pPr>
        <w:spacing w:before="240" w:line="300" w:lineRule="auto"/>
        <w:ind w:firstLine="3990" w:firstLineChars="1900"/>
      </w:pPr>
      <w:r>
        <w:rPr>
          <w:rFonts w:hint="eastAsia"/>
        </w:rPr>
        <w:t>法定代表人：</w:t>
      </w:r>
      <w:r>
        <w:rPr>
          <w:rFonts w:hint="eastAsia"/>
          <w:u w:val="single"/>
        </w:rPr>
        <w:t xml:space="preserve">  </w:t>
      </w:r>
      <w:r>
        <w:rPr>
          <w:u w:val="single"/>
        </w:rPr>
        <w:t xml:space="preserve">   </w:t>
      </w:r>
      <w:r>
        <w:rPr>
          <w:rFonts w:hint="eastAsia"/>
          <w:u w:val="single"/>
        </w:rPr>
        <w:t xml:space="preserve">（签字或盖章）      </w:t>
      </w:r>
    </w:p>
    <w:p>
      <w:pPr>
        <w:spacing w:before="240" w:line="300" w:lineRule="auto"/>
      </w:pPr>
    </w:p>
    <w:p>
      <w:pPr>
        <w:spacing w:before="240" w:line="300" w:lineRule="auto"/>
        <w:ind w:firstLine="4635"/>
      </w:pPr>
      <w:r>
        <w:rPr>
          <w:rFonts w:hint="eastAsia"/>
        </w:rPr>
        <w:t>日期：       年      月      日</w:t>
      </w:r>
    </w:p>
    <w:p>
      <w:pPr>
        <w:spacing w:line="420" w:lineRule="auto"/>
        <w:ind w:left="420"/>
      </w:pPr>
      <w:r>
        <mc:AlternateContent>
          <mc:Choice Requires="wps">
            <w:drawing>
              <wp:anchor distT="0" distB="0" distL="114300" distR="114300" simplePos="0" relativeHeight="251659264" behindDoc="0" locked="0" layoutInCell="1" allowOverlap="1">
                <wp:simplePos x="0" y="0"/>
                <wp:positionH relativeFrom="column">
                  <wp:posOffset>207645</wp:posOffset>
                </wp:positionH>
                <wp:positionV relativeFrom="paragraph">
                  <wp:posOffset>281940</wp:posOffset>
                </wp:positionV>
                <wp:extent cx="4775835" cy="3124200"/>
                <wp:effectExtent l="4445" t="4445" r="20320" b="889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4775835" cy="3124200"/>
                        </a:xfrm>
                        <a:prstGeom prst="rect">
                          <a:avLst/>
                        </a:prstGeom>
                        <a:solidFill>
                          <a:srgbClr val="FFFFFF"/>
                        </a:solidFill>
                        <a:ln w="9525">
                          <a:solidFill>
                            <a:srgbClr val="000000"/>
                          </a:solidFill>
                          <a:miter lim="800000"/>
                        </a:ln>
                        <a:effectLst/>
                      </wps:spPr>
                      <wps:txbx>
                        <w:txbxContent>
                          <w:p>
                            <w:pPr/>
                            <w:r>
                              <w:rPr>
                                <w:rFonts w:hint="eastAsia"/>
                              </w:rPr>
                              <w:t>附代理人身份证：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6.35pt;margin-top:22.2pt;height:246pt;width:376.05pt;z-index:251659264;mso-width-relative:page;mso-height-relative:page;" fillcolor="#FFFFFF" filled="t" stroked="t" coordsize="21600,21600" o:gfxdata="UEsDBAoAAAAAAIdO4kAAAAAAAAAAAAAAAAAEAAAAZHJzL1BLAwQUAAAACACHTuJAhu0ArNgAAAAJ&#10;AQAADwAAAGRycy9kb3ducmV2LnhtbE2PMU/DMBSEdyT+g/WQWBB12pgkhDgdkECwlYJgdePXJMJ+&#10;Drabln+PmWA83enuu2Z9sobN6MPoSMJykQFD6pweqZfw9vpwXQELUZFWxhFK+MYA6/b8rFG1dkd6&#10;wXkbe5ZKKNRKwhDjVHMeugGtCgs3ISVv77xVMUnfc+3VMZVbw1dZVnCrRkoLg5rwfsDuc3uwEirx&#10;NH+E53zz3hV7cxuvyvnxy0t5ebHM7oBFPMW/MPziJ3RoE9POHUgHZiTkqzIlJQghgCW/rES6spNw&#10;kxcCeNvw/w/aH1BLAwQUAAAACACHTuJAXSGoPi0CAABIBAAADgAAAGRycy9lMm9Eb2MueG1srVRN&#10;jtMwFN4jcQfLe5q20zKdqulo6KgIafiRBg7gOE5iYfsZ221SDsDcgBUb9pyr5+DZ6ZQIWCGysPz8&#10;nj9//r7nrK47rcheOC/B5HQyGlMiDIdSmjqnH95vny0o8YGZkikwIqcH4en1+umTVWuXYgoNqFI4&#10;giDGL1ub0yYEu8wyzxuhmR+BFQaTFTjNAoauzkrHWkTXKpuOx8+zFlxpHXDhPa7e9km6TvhVJXh4&#10;W1VeBKJyitxCGl0aizhm6xVb1o7ZRvITDfYPLDSTBg89Q92ywMjOyT+gtOQOPFRhxEFnUFWSi3QH&#10;vM1k/Ntt7htmRboLiuPtWSb//2D5m/07R2SJ3lFimEaLjl8fjt9+HL9/IZMoT2v9EqvuLdaF7gV0&#10;sTRe1ds74B89MbBpmKnFjXPQNoKVSC/tzAZbexwfQYr2NZR4DtsFSEBd5XQERDUIoqNNh7M1oguE&#10;4+Ls8nK+uJhTwjF3MZnO0PzILmPLx+3W+fBSgCZxklOH3id4tr/zoS99LEn0QclyK5VKgauLjXJk&#10;z7BPtuk7ofthmTKkzenVfDrvFRjm/BBinL6/QWgZsOGV1DldDIuUiTxEatkT3yhfVKzXLnRFd7Kj&#10;gPKAQjro2xmfH04acJ8pabGVc+o/7ZgTlKhXBs24msxmsfdTMJtfTjFww0wxzDDDESqngZJ+ugn9&#10;e9lZJ+sGT+rtN3CDBlYySRup9qzQkhhguyZzTk8rvodhnKp+/QDWP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G7QCs2AAAAAkBAAAPAAAAAAAAAAEAIAAAACIAAABkcnMvZG93bnJldi54bWxQSwEC&#10;FAAUAAAACACHTuJAXSGoPi0CAABIBAAADgAAAAAAAAABACAAAAAnAQAAZHJzL2Uyb0RvYy54bWxQ&#10;SwUGAAAAAAYABgBZAQAAxgUAAAAA&#10;">
                <v:fill on="t" focussize="0,0"/>
                <v:stroke color="#000000" miterlimit="8" joinstyle="miter"/>
                <v:imagedata o:title=""/>
                <o:lock v:ext="edit" aspectratio="f"/>
                <v:textbox>
                  <w:txbxContent>
                    <w:p>
                      <w:pPr/>
                      <w:r>
                        <w:rPr>
                          <w:rFonts w:hint="eastAsia"/>
                        </w:rPr>
                        <w:t>附代理人身份证：</w:t>
                      </w:r>
                    </w:p>
                  </w:txbxContent>
                </v:textbox>
              </v:shape>
            </w:pict>
          </mc:Fallback>
        </mc:AlternateContent>
      </w: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left="420"/>
      </w:pPr>
    </w:p>
    <w:p>
      <w:pPr>
        <w:spacing w:line="420" w:lineRule="auto"/>
        <w:ind w:firstLine="2786" w:firstLineChars="995"/>
        <w:rPr>
          <w:b/>
          <w:bCs/>
          <w:sz w:val="28"/>
          <w:szCs w:val="28"/>
        </w:rPr>
      </w:pPr>
      <w:r>
        <w:rPr>
          <w:rFonts w:hint="eastAsia"/>
          <w:b/>
          <w:bCs/>
          <w:sz w:val="28"/>
          <w:szCs w:val="28"/>
        </w:rPr>
        <w:t>五、</w:t>
      </w:r>
      <w:r>
        <w:rPr>
          <w:b/>
          <w:bCs/>
          <w:sz w:val="28"/>
          <w:szCs w:val="28"/>
        </w:rPr>
        <w:t>近</w:t>
      </w:r>
      <w:r>
        <w:rPr>
          <w:rFonts w:hint="eastAsia"/>
          <w:b/>
          <w:bCs/>
          <w:sz w:val="28"/>
          <w:szCs w:val="28"/>
        </w:rPr>
        <w:t>3</w:t>
      </w:r>
      <w:r>
        <w:rPr>
          <w:b/>
          <w:bCs/>
          <w:sz w:val="28"/>
          <w:szCs w:val="28"/>
        </w:rPr>
        <w:t>年来</w:t>
      </w:r>
      <w:r>
        <w:rPr>
          <w:rFonts w:hint="eastAsia"/>
          <w:b/>
          <w:bCs/>
          <w:sz w:val="28"/>
          <w:szCs w:val="28"/>
        </w:rPr>
        <w:t>类似</w:t>
      </w:r>
      <w:r>
        <w:rPr>
          <w:b/>
          <w:bCs/>
          <w:sz w:val="28"/>
          <w:szCs w:val="28"/>
        </w:rPr>
        <w:t>项目业绩一览表</w:t>
      </w:r>
    </w:p>
    <w:p>
      <w:pPr>
        <w:spacing w:line="360" w:lineRule="auto"/>
      </w:pPr>
    </w:p>
    <w:p>
      <w:pPr>
        <w:spacing w:line="360" w:lineRule="auto"/>
        <w:rPr>
          <w:szCs w:val="21"/>
        </w:rPr>
      </w:pPr>
      <w:r>
        <w:rPr>
          <w:rFonts w:hint="eastAsia"/>
          <w:szCs w:val="21"/>
        </w:rPr>
        <w:t>项目名称：</w:t>
      </w:r>
      <w:r>
        <w:rPr>
          <w:rFonts w:hint="eastAsia"/>
          <w:szCs w:val="21"/>
          <w:u w:val="single"/>
        </w:rPr>
        <w:t xml:space="preserve">              </w:t>
      </w:r>
      <w:r>
        <w:rPr>
          <w:szCs w:val="21"/>
        </w:rPr>
        <w:t xml:space="preserve">      </w:t>
      </w:r>
    </w:p>
    <w:p>
      <w:pPr>
        <w:spacing w:line="360" w:lineRule="auto"/>
        <w:rPr>
          <w:bCs/>
          <w:szCs w:val="21"/>
        </w:rPr>
      </w:pPr>
      <w:r>
        <w:rPr>
          <w:rFonts w:hint="eastAsia"/>
          <w:szCs w:val="21"/>
        </w:rPr>
        <w:t>比选编号：</w:t>
      </w:r>
      <w:r>
        <w:rPr>
          <w:rFonts w:hint="eastAsia"/>
          <w:szCs w:val="21"/>
          <w:u w:val="single"/>
        </w:rPr>
        <w:t xml:space="preserve">              </w:t>
      </w:r>
    </w:p>
    <w:p>
      <w:pPr>
        <w:spacing w:line="360" w:lineRule="auto"/>
        <w:rPr>
          <w:szCs w:val="21"/>
        </w:rPr>
      </w:pPr>
    </w:p>
    <w:tbl>
      <w:tblPr>
        <w:tblStyle w:val="9"/>
        <w:tblW w:w="99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1330"/>
        <w:gridCol w:w="3714"/>
        <w:gridCol w:w="1480"/>
        <w:gridCol w:w="1480"/>
        <w:gridCol w:w="1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r>
              <w:rPr>
                <w:rFonts w:hint="eastAsia"/>
                <w:szCs w:val="21"/>
              </w:rPr>
              <w:t>序号</w:t>
            </w:r>
          </w:p>
        </w:tc>
        <w:tc>
          <w:tcPr>
            <w:tcW w:w="1330" w:type="dxa"/>
            <w:vAlign w:val="center"/>
          </w:tcPr>
          <w:p>
            <w:pPr>
              <w:jc w:val="center"/>
              <w:rPr>
                <w:szCs w:val="21"/>
              </w:rPr>
            </w:pPr>
            <w:r>
              <w:rPr>
                <w:rFonts w:hint="eastAsia"/>
                <w:szCs w:val="21"/>
              </w:rPr>
              <w:t>主要业绩名称</w:t>
            </w:r>
          </w:p>
        </w:tc>
        <w:tc>
          <w:tcPr>
            <w:tcW w:w="3714" w:type="dxa"/>
            <w:vAlign w:val="center"/>
          </w:tcPr>
          <w:p>
            <w:pPr>
              <w:jc w:val="center"/>
              <w:rPr>
                <w:szCs w:val="21"/>
              </w:rPr>
            </w:pPr>
            <w:r>
              <w:rPr>
                <w:rFonts w:hint="eastAsia"/>
                <w:szCs w:val="21"/>
              </w:rPr>
              <w:t>业绩简介</w:t>
            </w:r>
          </w:p>
        </w:tc>
        <w:tc>
          <w:tcPr>
            <w:tcW w:w="1480" w:type="dxa"/>
            <w:vAlign w:val="center"/>
          </w:tcPr>
          <w:p>
            <w:pPr>
              <w:widowControl/>
              <w:jc w:val="center"/>
              <w:rPr>
                <w:szCs w:val="21"/>
              </w:rPr>
            </w:pPr>
            <w:r>
              <w:rPr>
                <w:rFonts w:hint="eastAsia"/>
                <w:szCs w:val="21"/>
              </w:rPr>
              <w:t>项目负责人</w:t>
            </w:r>
          </w:p>
        </w:tc>
        <w:tc>
          <w:tcPr>
            <w:tcW w:w="1480" w:type="dxa"/>
            <w:vAlign w:val="center"/>
          </w:tcPr>
          <w:p>
            <w:pPr>
              <w:widowControl/>
              <w:jc w:val="center"/>
              <w:rPr>
                <w:szCs w:val="21"/>
              </w:rPr>
            </w:pPr>
            <w:r>
              <w:rPr>
                <w:rFonts w:hint="eastAsia"/>
                <w:szCs w:val="21"/>
              </w:rPr>
              <w:t>合同额</w:t>
            </w:r>
          </w:p>
          <w:p>
            <w:pPr>
              <w:jc w:val="center"/>
              <w:rPr>
                <w:szCs w:val="21"/>
              </w:rPr>
            </w:pPr>
            <w:r>
              <w:rPr>
                <w:rFonts w:hint="eastAsia"/>
                <w:szCs w:val="21"/>
              </w:rPr>
              <w:t>（万元）</w:t>
            </w:r>
          </w:p>
        </w:tc>
        <w:tc>
          <w:tcPr>
            <w:tcW w:w="1177" w:type="dxa"/>
            <w:vAlign w:val="center"/>
          </w:tcPr>
          <w:p>
            <w:pPr>
              <w:jc w:val="center"/>
              <w:rPr>
                <w:szCs w:val="21"/>
              </w:rPr>
            </w:pPr>
            <w:r>
              <w:rPr>
                <w:rFonts w:hint="eastAsia"/>
                <w:szCs w:val="21"/>
              </w:rPr>
              <w:t>合同签订时间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jc w:val="cente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772" w:type="dxa"/>
            <w:vAlign w:val="center"/>
          </w:tcPr>
          <w:p>
            <w:pPr>
              <w:rPr>
                <w:szCs w:val="21"/>
              </w:rPr>
            </w:pPr>
          </w:p>
        </w:tc>
        <w:tc>
          <w:tcPr>
            <w:tcW w:w="1330" w:type="dxa"/>
            <w:vAlign w:val="center"/>
          </w:tcPr>
          <w:p>
            <w:pPr>
              <w:jc w:val="center"/>
              <w:rPr>
                <w:szCs w:val="21"/>
              </w:rPr>
            </w:pPr>
          </w:p>
        </w:tc>
        <w:tc>
          <w:tcPr>
            <w:tcW w:w="3714" w:type="dxa"/>
            <w:vAlign w:val="center"/>
          </w:tcPr>
          <w:p>
            <w:pPr>
              <w:jc w:val="center"/>
              <w:rPr>
                <w:szCs w:val="21"/>
              </w:rPr>
            </w:pPr>
          </w:p>
        </w:tc>
        <w:tc>
          <w:tcPr>
            <w:tcW w:w="1480" w:type="dxa"/>
            <w:vAlign w:val="center"/>
          </w:tcPr>
          <w:p>
            <w:pPr>
              <w:jc w:val="center"/>
              <w:rPr>
                <w:szCs w:val="21"/>
              </w:rPr>
            </w:pPr>
          </w:p>
        </w:tc>
        <w:tc>
          <w:tcPr>
            <w:tcW w:w="1480" w:type="dxa"/>
            <w:vAlign w:val="center"/>
          </w:tcPr>
          <w:p>
            <w:pPr>
              <w:jc w:val="center"/>
              <w:rPr>
                <w:szCs w:val="21"/>
              </w:rPr>
            </w:pPr>
          </w:p>
        </w:tc>
        <w:tc>
          <w:tcPr>
            <w:tcW w:w="1177" w:type="dxa"/>
            <w:vAlign w:val="center"/>
          </w:tcPr>
          <w:p>
            <w:pPr>
              <w:jc w:val="center"/>
              <w:rPr>
                <w:szCs w:val="21"/>
              </w:rPr>
            </w:pPr>
          </w:p>
        </w:tc>
      </w:tr>
    </w:tbl>
    <w:p>
      <w:pPr>
        <w:spacing w:line="420" w:lineRule="auto"/>
        <w:rPr>
          <w:b/>
          <w:bCs/>
        </w:rPr>
      </w:pPr>
      <w:r>
        <w:rPr>
          <w:rFonts w:hint="eastAsia"/>
          <w:b/>
          <w:bCs/>
        </w:rPr>
        <w:t xml:space="preserve">注 类似业绩以合同扫描件为准。 </w:t>
      </w:r>
    </w:p>
    <w:p>
      <w:pPr>
        <w:spacing w:line="500" w:lineRule="exact"/>
        <w:ind w:firstLine="3570" w:firstLineChars="1700"/>
      </w:pPr>
      <w:r>
        <w:rPr>
          <w:rFonts w:hint="eastAsia"/>
        </w:rPr>
        <w:t>报价单位：</w:t>
      </w:r>
      <w:r>
        <w:rPr>
          <w:rFonts w:hint="eastAsia"/>
          <w:u w:val="single"/>
        </w:rPr>
        <w:t xml:space="preserve">                        </w:t>
      </w:r>
      <w:r>
        <w:rPr>
          <w:rFonts w:hint="eastAsia"/>
        </w:rPr>
        <w:t xml:space="preserve"> </w:t>
      </w:r>
    </w:p>
    <w:p>
      <w:pPr>
        <w:spacing w:line="500" w:lineRule="exact"/>
        <w:ind w:firstLine="3570" w:firstLineChars="1700"/>
        <w:rPr>
          <w:u w:val="single"/>
        </w:rPr>
      </w:pPr>
      <w:r>
        <w:rPr>
          <w:rFonts w:hint="eastAsia"/>
        </w:rPr>
        <w:t>法定代表人或委托代理人：</w:t>
      </w:r>
      <w:r>
        <w:rPr>
          <w:rFonts w:hint="eastAsia"/>
          <w:u w:val="single"/>
        </w:rPr>
        <w:t>（签字或盖章）</w:t>
      </w:r>
    </w:p>
    <w:p>
      <w:pPr>
        <w:spacing w:line="420" w:lineRule="auto"/>
        <w:ind w:firstLine="1249" w:firstLineChars="595"/>
        <w:rPr>
          <w:b/>
          <w:bCs/>
          <w:sz w:val="36"/>
        </w:rPr>
      </w:pPr>
      <w:r>
        <w:rPr>
          <w:rFonts w:hint="eastAsia"/>
        </w:rPr>
        <w:t xml:space="preserve">                      日期：</w:t>
      </w:r>
    </w:p>
    <w:p>
      <w:pPr>
        <w:spacing w:line="420" w:lineRule="auto"/>
        <w:ind w:firstLine="2142" w:firstLineChars="595"/>
        <w:rPr>
          <w:b/>
          <w:bCs/>
          <w:sz w:val="36"/>
        </w:rPr>
      </w:pPr>
    </w:p>
    <w:p>
      <w:pPr>
        <w:spacing w:line="420" w:lineRule="auto"/>
        <w:ind w:firstLine="2142" w:firstLineChars="595"/>
        <w:rPr>
          <w:b/>
          <w:bCs/>
          <w:sz w:val="36"/>
        </w:rPr>
      </w:pPr>
    </w:p>
    <w:p>
      <w:pPr>
        <w:spacing w:line="420" w:lineRule="auto"/>
        <w:ind w:firstLine="2142" w:firstLineChars="595"/>
        <w:rPr>
          <w:b/>
          <w:bCs/>
          <w:sz w:val="36"/>
        </w:rPr>
      </w:pPr>
    </w:p>
    <w:p>
      <w:pPr>
        <w:spacing w:line="420" w:lineRule="auto"/>
        <w:ind w:firstLine="2142" w:firstLineChars="595"/>
        <w:rPr>
          <w:b/>
          <w:bCs/>
          <w:sz w:val="36"/>
        </w:rPr>
      </w:pPr>
    </w:p>
    <w:p>
      <w:pPr>
        <w:spacing w:line="420" w:lineRule="auto"/>
        <w:ind w:firstLine="2142" w:firstLineChars="595"/>
        <w:rPr>
          <w:b/>
          <w:bCs/>
          <w:sz w:val="36"/>
        </w:rPr>
      </w:pPr>
    </w:p>
    <w:p>
      <w:pPr>
        <w:spacing w:line="420" w:lineRule="auto"/>
        <w:ind w:firstLine="2786" w:firstLineChars="995"/>
        <w:rPr>
          <w:b/>
          <w:bCs/>
          <w:sz w:val="28"/>
          <w:szCs w:val="28"/>
        </w:rPr>
      </w:pPr>
      <w:r>
        <w:rPr>
          <w:rFonts w:hint="eastAsia"/>
          <w:b/>
          <w:bCs/>
          <w:sz w:val="28"/>
          <w:szCs w:val="28"/>
        </w:rPr>
        <w:t>六、</w:t>
      </w:r>
      <w:r>
        <w:rPr>
          <w:b/>
          <w:bCs/>
          <w:sz w:val="28"/>
          <w:szCs w:val="28"/>
        </w:rPr>
        <w:t>项目</w:t>
      </w:r>
      <w:r>
        <w:rPr>
          <w:rFonts w:hint="eastAsia"/>
          <w:b/>
          <w:bCs/>
          <w:sz w:val="28"/>
          <w:szCs w:val="28"/>
        </w:rPr>
        <w:t>负责人</w:t>
      </w:r>
      <w:r>
        <w:rPr>
          <w:b/>
          <w:bCs/>
          <w:sz w:val="28"/>
          <w:szCs w:val="28"/>
        </w:rPr>
        <w:t>相关经验及业绩</w:t>
      </w:r>
    </w:p>
    <w:p>
      <w:pPr>
        <w:spacing w:line="360" w:lineRule="auto"/>
        <w:rPr>
          <w:szCs w:val="21"/>
        </w:rPr>
      </w:pPr>
    </w:p>
    <w:p>
      <w:pPr>
        <w:spacing w:line="360" w:lineRule="auto"/>
        <w:rPr>
          <w:szCs w:val="21"/>
        </w:rPr>
      </w:pPr>
      <w:r>
        <w:rPr>
          <w:rFonts w:hint="eastAsia"/>
          <w:szCs w:val="21"/>
        </w:rPr>
        <w:t>项目名称：</w:t>
      </w:r>
      <w:r>
        <w:rPr>
          <w:rFonts w:hint="eastAsia"/>
          <w:szCs w:val="21"/>
          <w:u w:val="single"/>
        </w:rPr>
        <w:t xml:space="preserve">             </w:t>
      </w:r>
      <w:r>
        <w:rPr>
          <w:szCs w:val="21"/>
        </w:rPr>
        <w:t xml:space="preserve">      </w:t>
      </w:r>
    </w:p>
    <w:p>
      <w:pPr>
        <w:spacing w:line="360" w:lineRule="auto"/>
        <w:rPr>
          <w:szCs w:val="21"/>
        </w:rPr>
      </w:pPr>
      <w:r>
        <w:rPr>
          <w:rFonts w:hint="eastAsia"/>
          <w:szCs w:val="21"/>
        </w:rPr>
        <w:t>比选编号：</w:t>
      </w:r>
      <w:r>
        <w:rPr>
          <w:rFonts w:hint="eastAsia"/>
          <w:szCs w:val="21"/>
          <w:u w:val="single"/>
        </w:rPr>
        <w:t xml:space="preserve">             </w:t>
      </w:r>
    </w:p>
    <w:p>
      <w:pPr>
        <w:spacing w:line="360" w:lineRule="auto"/>
        <w:rPr>
          <w:b/>
          <w:bCs/>
          <w:szCs w:val="21"/>
        </w:rPr>
      </w:pPr>
    </w:p>
    <w:tbl>
      <w:tblPr>
        <w:tblStyle w:val="9"/>
        <w:tblW w:w="8692" w:type="dxa"/>
        <w:tblInd w:w="130" w:type="dxa"/>
        <w:tblLayout w:type="fixed"/>
        <w:tblCellMar>
          <w:top w:w="15" w:type="dxa"/>
          <w:left w:w="15" w:type="dxa"/>
          <w:bottom w:w="15" w:type="dxa"/>
          <w:right w:w="15" w:type="dxa"/>
        </w:tblCellMar>
      </w:tblPr>
      <w:tblGrid>
        <w:gridCol w:w="1108"/>
        <w:gridCol w:w="1551"/>
        <w:gridCol w:w="738"/>
        <w:gridCol w:w="1503"/>
        <w:gridCol w:w="1628"/>
        <w:gridCol w:w="2164"/>
      </w:tblGrid>
      <w:tr>
        <w:tblPrEx>
          <w:tblLayout w:type="fixed"/>
          <w:tblCellMar>
            <w:top w:w="15" w:type="dxa"/>
            <w:left w:w="15" w:type="dxa"/>
            <w:bottom w:w="15" w:type="dxa"/>
            <w:right w:w="15" w:type="dxa"/>
          </w:tblCellMar>
        </w:tblPrEx>
        <w:trPr>
          <w:trHeight w:val="456" w:hRule="atLeast"/>
        </w:trPr>
        <w:tc>
          <w:tcPr>
            <w:tcW w:w="1108" w:type="dxa"/>
            <w:tcBorders>
              <w:top w:val="single" w:color="000000" w:sz="2" w:space="0"/>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姓名</w:t>
            </w:r>
          </w:p>
        </w:tc>
        <w:tc>
          <w:tcPr>
            <w:tcW w:w="1551"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c>
          <w:tcPr>
            <w:tcW w:w="738"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年龄</w:t>
            </w:r>
          </w:p>
        </w:tc>
        <w:tc>
          <w:tcPr>
            <w:tcW w:w="1503"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c>
          <w:tcPr>
            <w:tcW w:w="1628"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出生日期</w:t>
            </w:r>
          </w:p>
        </w:tc>
        <w:tc>
          <w:tcPr>
            <w:tcW w:w="2164"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r>
      <w:tr>
        <w:tblPrEx>
          <w:tblLayout w:type="fixed"/>
          <w:tblCellMar>
            <w:top w:w="15" w:type="dxa"/>
            <w:left w:w="15" w:type="dxa"/>
            <w:bottom w:w="15" w:type="dxa"/>
            <w:right w:w="15" w:type="dxa"/>
          </w:tblCellMar>
        </w:tblPrEx>
        <w:trPr>
          <w:trHeight w:val="449" w:hRule="atLeast"/>
        </w:trPr>
        <w:tc>
          <w:tcPr>
            <w:tcW w:w="110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最高学历</w:t>
            </w:r>
          </w:p>
        </w:tc>
        <w:tc>
          <w:tcPr>
            <w:tcW w:w="1551"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c>
          <w:tcPr>
            <w:tcW w:w="738"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专业</w:t>
            </w:r>
          </w:p>
        </w:tc>
        <w:tc>
          <w:tcPr>
            <w:tcW w:w="1503"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c>
          <w:tcPr>
            <w:tcW w:w="1628"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职称</w:t>
            </w:r>
          </w:p>
        </w:tc>
        <w:tc>
          <w:tcPr>
            <w:tcW w:w="2164"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p>
        </w:tc>
      </w:tr>
      <w:tr>
        <w:tblPrEx>
          <w:tblLayout w:type="fixed"/>
          <w:tblCellMar>
            <w:top w:w="15" w:type="dxa"/>
            <w:left w:w="15" w:type="dxa"/>
            <w:bottom w:w="15" w:type="dxa"/>
            <w:right w:w="15" w:type="dxa"/>
          </w:tblCellMar>
        </w:tblPrEx>
        <w:trPr>
          <w:trHeight w:val="800" w:hRule="atLeast"/>
        </w:trPr>
        <w:tc>
          <w:tcPr>
            <w:tcW w:w="110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相关注</w:t>
            </w:r>
          </w:p>
          <w:p>
            <w:pPr>
              <w:widowControl/>
              <w:adjustRightInd w:val="0"/>
              <w:snapToGrid w:val="0"/>
              <w:jc w:val="center"/>
              <w:rPr>
                <w:rFonts w:cs="宋体"/>
                <w:kern w:val="0"/>
                <w:szCs w:val="21"/>
              </w:rPr>
            </w:pPr>
            <w:r>
              <w:rPr>
                <w:rFonts w:hint="eastAsia" w:cs="宋体"/>
                <w:kern w:val="0"/>
                <w:szCs w:val="21"/>
              </w:rPr>
              <w:t>册资格</w:t>
            </w: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rPr>
                <w:rFonts w:cs="宋体"/>
                <w:kern w:val="0"/>
                <w:szCs w:val="21"/>
              </w:rPr>
            </w:pPr>
            <w:r>
              <w:rPr>
                <w:rFonts w:hint="eastAsia" w:cs="宋体"/>
                <w:kern w:val="0"/>
                <w:szCs w:val="21"/>
              </w:rPr>
              <w:t xml:space="preserve">   </w:t>
            </w:r>
          </w:p>
        </w:tc>
      </w:tr>
      <w:tr>
        <w:tblPrEx>
          <w:tblLayout w:type="fixed"/>
          <w:tblCellMar>
            <w:top w:w="15" w:type="dxa"/>
            <w:left w:w="15" w:type="dxa"/>
            <w:bottom w:w="15" w:type="dxa"/>
            <w:right w:w="15" w:type="dxa"/>
          </w:tblCellMar>
        </w:tblPrEx>
        <w:trPr>
          <w:trHeight w:val="1220" w:hRule="atLeast"/>
        </w:trPr>
        <w:tc>
          <w:tcPr>
            <w:tcW w:w="110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cs="宋体"/>
                <w:kern w:val="0"/>
                <w:szCs w:val="21"/>
              </w:rPr>
            </w:pPr>
            <w:r>
              <w:rPr>
                <w:rFonts w:hint="eastAsia" w:cs="宋体"/>
                <w:kern w:val="0"/>
                <w:szCs w:val="21"/>
              </w:rPr>
              <w:t>工作</w:t>
            </w:r>
          </w:p>
          <w:p>
            <w:pPr>
              <w:widowControl/>
              <w:adjustRightInd w:val="0"/>
              <w:snapToGrid w:val="0"/>
              <w:jc w:val="center"/>
              <w:rPr>
                <w:rFonts w:cs="宋体"/>
                <w:kern w:val="0"/>
                <w:szCs w:val="21"/>
              </w:rPr>
            </w:pPr>
            <w:r>
              <w:rPr>
                <w:rFonts w:hint="eastAsia" w:cs="宋体"/>
                <w:kern w:val="0"/>
                <w:szCs w:val="21"/>
              </w:rPr>
              <w:t>简历</w:t>
            </w: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rPr>
                <w:rFonts w:cs="宋体"/>
                <w:kern w:val="0"/>
                <w:szCs w:val="21"/>
              </w:rPr>
            </w:pPr>
            <w:r>
              <w:rPr>
                <w:rFonts w:hint="eastAsia" w:cs="宋体"/>
                <w:kern w:val="0"/>
                <w:szCs w:val="21"/>
              </w:rPr>
              <w:t xml:space="preserve">   </w:t>
            </w:r>
          </w:p>
        </w:tc>
      </w:tr>
      <w:tr>
        <w:tblPrEx>
          <w:tblLayout w:type="fixed"/>
          <w:tblCellMar>
            <w:top w:w="15" w:type="dxa"/>
            <w:left w:w="15" w:type="dxa"/>
            <w:bottom w:w="15" w:type="dxa"/>
            <w:right w:w="15" w:type="dxa"/>
          </w:tblCellMar>
        </w:tblPrEx>
        <w:trPr>
          <w:trHeight w:val="764" w:hRule="atLeast"/>
        </w:trPr>
        <w:tc>
          <w:tcPr>
            <w:tcW w:w="1108" w:type="dxa"/>
            <w:vMerge w:val="restart"/>
            <w:tcBorders>
              <w:top w:val="nil"/>
              <w:left w:val="single" w:color="000000" w:sz="2" w:space="0"/>
              <w:right w:val="single" w:color="000000" w:sz="2" w:space="0"/>
            </w:tcBorders>
            <w:vAlign w:val="center"/>
          </w:tcPr>
          <w:p>
            <w:pPr>
              <w:widowControl/>
              <w:adjustRightInd w:val="0"/>
              <w:snapToGrid w:val="0"/>
              <w:jc w:val="center"/>
              <w:rPr>
                <w:rFonts w:cs="宋体"/>
                <w:kern w:val="0"/>
                <w:szCs w:val="21"/>
              </w:rPr>
            </w:pPr>
            <w:r>
              <w:rPr>
                <w:rFonts w:hint="eastAsia" w:cs="宋体"/>
                <w:kern w:val="0"/>
                <w:szCs w:val="21"/>
              </w:rPr>
              <w:t>承担相关项目业绩状况</w:t>
            </w: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top"/>
          </w:tcPr>
          <w:p>
            <w:pPr>
              <w:widowControl/>
              <w:adjustRightInd w:val="0"/>
              <w:snapToGrid w:val="0"/>
              <w:rPr>
                <w:rFonts w:cs="宋体"/>
                <w:kern w:val="0"/>
                <w:szCs w:val="21"/>
              </w:rPr>
            </w:pPr>
          </w:p>
        </w:tc>
      </w:tr>
      <w:tr>
        <w:tblPrEx>
          <w:tblLayout w:type="fixed"/>
          <w:tblCellMar>
            <w:top w:w="15" w:type="dxa"/>
            <w:left w:w="15" w:type="dxa"/>
            <w:bottom w:w="15" w:type="dxa"/>
            <w:right w:w="15" w:type="dxa"/>
          </w:tblCellMar>
        </w:tblPrEx>
        <w:trPr>
          <w:trHeight w:val="453" w:hRule="atLeast"/>
        </w:trPr>
        <w:tc>
          <w:tcPr>
            <w:tcW w:w="1108" w:type="dxa"/>
            <w:vMerge w:val="continue"/>
            <w:tcBorders>
              <w:left w:val="single" w:color="000000" w:sz="2" w:space="0"/>
              <w:right w:val="single" w:color="000000" w:sz="2" w:space="0"/>
            </w:tcBorders>
            <w:vAlign w:val="center"/>
          </w:tcPr>
          <w:p>
            <w:pPr>
              <w:widowControl/>
              <w:adjustRightInd w:val="0"/>
              <w:snapToGrid w:val="0"/>
              <w:jc w:val="center"/>
              <w:rPr>
                <w:rFonts w:cs="宋体"/>
                <w:kern w:val="0"/>
                <w:szCs w:val="21"/>
              </w:rPr>
            </w:pP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top"/>
          </w:tcPr>
          <w:p>
            <w:pPr>
              <w:widowControl/>
              <w:adjustRightInd w:val="0"/>
              <w:snapToGrid w:val="0"/>
              <w:rPr>
                <w:rFonts w:cs="宋体"/>
                <w:kern w:val="0"/>
                <w:szCs w:val="21"/>
              </w:rPr>
            </w:pPr>
          </w:p>
        </w:tc>
      </w:tr>
      <w:tr>
        <w:tblPrEx>
          <w:tblLayout w:type="fixed"/>
          <w:tblCellMar>
            <w:top w:w="15" w:type="dxa"/>
            <w:left w:w="15" w:type="dxa"/>
            <w:bottom w:w="15" w:type="dxa"/>
            <w:right w:w="15" w:type="dxa"/>
          </w:tblCellMar>
        </w:tblPrEx>
        <w:trPr>
          <w:trHeight w:val="453" w:hRule="atLeast"/>
        </w:trPr>
        <w:tc>
          <w:tcPr>
            <w:tcW w:w="1108" w:type="dxa"/>
            <w:vMerge w:val="continue"/>
            <w:tcBorders>
              <w:left w:val="single" w:color="000000" w:sz="2" w:space="0"/>
              <w:bottom w:val="single" w:color="000000" w:sz="2" w:space="0"/>
              <w:right w:val="single" w:color="000000" w:sz="2" w:space="0"/>
            </w:tcBorders>
            <w:vAlign w:val="center"/>
          </w:tcPr>
          <w:p>
            <w:pPr>
              <w:widowControl/>
              <w:adjustRightInd w:val="0"/>
              <w:snapToGrid w:val="0"/>
              <w:jc w:val="center"/>
              <w:rPr>
                <w:rFonts w:cs="宋体"/>
                <w:kern w:val="0"/>
                <w:szCs w:val="21"/>
              </w:rPr>
            </w:pPr>
          </w:p>
        </w:tc>
        <w:tc>
          <w:tcPr>
            <w:tcW w:w="7584" w:type="dxa"/>
            <w:gridSpan w:val="5"/>
            <w:tcBorders>
              <w:top w:val="nil"/>
              <w:left w:val="nil"/>
              <w:bottom w:val="single" w:color="000000" w:sz="2" w:space="0"/>
              <w:right w:val="single" w:color="000000" w:sz="2" w:space="0"/>
            </w:tcBorders>
            <w:tcMar>
              <w:top w:w="0" w:type="dxa"/>
              <w:left w:w="0" w:type="dxa"/>
              <w:bottom w:w="0" w:type="dxa"/>
              <w:right w:w="0" w:type="dxa"/>
            </w:tcMar>
            <w:vAlign w:val="top"/>
          </w:tcPr>
          <w:p>
            <w:pPr>
              <w:widowControl/>
              <w:adjustRightInd w:val="0"/>
              <w:snapToGrid w:val="0"/>
              <w:rPr>
                <w:rFonts w:cs="宋体"/>
                <w:kern w:val="0"/>
                <w:szCs w:val="21"/>
              </w:rPr>
            </w:pPr>
          </w:p>
        </w:tc>
      </w:tr>
    </w:tbl>
    <w:p>
      <w:pPr>
        <w:spacing w:line="360" w:lineRule="auto"/>
        <w:rPr>
          <w:szCs w:val="21"/>
        </w:rPr>
      </w:pPr>
      <w:r>
        <w:rPr>
          <w:rFonts w:hint="eastAsia"/>
          <w:bCs/>
          <w:szCs w:val="21"/>
        </w:rPr>
        <w:t>附上有关个人学历、学位、职称等证明文件（扫描件，并加盖公章）</w:t>
      </w:r>
    </w:p>
    <w:p>
      <w:pPr>
        <w:adjustRightInd w:val="0"/>
        <w:snapToGrid w:val="0"/>
        <w:spacing w:before="93" w:beforeLines="30" w:line="400" w:lineRule="exact"/>
        <w:ind w:firstLine="4620" w:firstLineChars="2200"/>
        <w:rPr>
          <w:szCs w:val="21"/>
        </w:rPr>
      </w:pPr>
      <w:r>
        <w:rPr>
          <w:rFonts w:hint="eastAsia"/>
          <w:szCs w:val="21"/>
        </w:rPr>
        <w:t>报价人名称（盖章）：</w:t>
      </w:r>
    </w:p>
    <w:p>
      <w:pPr>
        <w:adjustRightInd w:val="0"/>
        <w:snapToGrid w:val="0"/>
        <w:spacing w:before="93" w:beforeLines="30" w:line="400" w:lineRule="exact"/>
        <w:ind w:firstLine="4620" w:firstLineChars="2200"/>
        <w:rPr>
          <w:szCs w:val="21"/>
        </w:rPr>
      </w:pPr>
      <w:r>
        <w:rPr>
          <w:rFonts w:hint="eastAsia"/>
        </w:rPr>
        <w:t>法定代表人或委托代理人</w:t>
      </w:r>
      <w:r>
        <w:rPr>
          <w:rFonts w:hint="eastAsia"/>
          <w:szCs w:val="21"/>
        </w:rPr>
        <w:t>（签名）：</w:t>
      </w:r>
      <w:r>
        <w:rPr>
          <w:rFonts w:hint="eastAsia"/>
          <w:bCs/>
          <w:szCs w:val="21"/>
          <w:u w:val="single"/>
        </w:rPr>
        <w:t xml:space="preserve">       </w:t>
      </w:r>
    </w:p>
    <w:p>
      <w:pPr>
        <w:adjustRightInd w:val="0"/>
        <w:snapToGrid w:val="0"/>
        <w:spacing w:before="93" w:beforeLines="30" w:line="400" w:lineRule="exact"/>
        <w:ind w:firstLine="4620" w:firstLineChars="2200"/>
        <w:rPr>
          <w:szCs w:val="21"/>
        </w:rPr>
      </w:pPr>
      <w:r>
        <w:rPr>
          <w:rFonts w:hint="eastAsia"/>
          <w:szCs w:val="21"/>
        </w:rPr>
        <w:t>日</w:t>
      </w:r>
      <w:r>
        <w:rPr>
          <w:szCs w:val="21"/>
        </w:rPr>
        <w:t xml:space="preserve">    </w:t>
      </w:r>
      <w:r>
        <w:rPr>
          <w:rFonts w:hint="eastAsia"/>
          <w:szCs w:val="21"/>
        </w:rPr>
        <w:t>期：</w:t>
      </w:r>
      <w:r>
        <w:rPr>
          <w:rFonts w:hint="eastAsia"/>
          <w:bCs/>
          <w:szCs w:val="21"/>
          <w:u w:val="single"/>
        </w:rPr>
        <w:t xml:space="preserve">     </w:t>
      </w:r>
      <w:r>
        <w:rPr>
          <w:szCs w:val="21"/>
        </w:rPr>
        <w:t xml:space="preserve"> </w:t>
      </w:r>
      <w:r>
        <w:rPr>
          <w:rFonts w:hint="eastAsia"/>
          <w:szCs w:val="21"/>
        </w:rPr>
        <w:t>年</w:t>
      </w:r>
      <w:r>
        <w:rPr>
          <w:rFonts w:hint="eastAsia"/>
          <w:bCs/>
          <w:szCs w:val="21"/>
          <w:u w:val="single"/>
        </w:rPr>
        <w:t xml:space="preserve">   </w:t>
      </w:r>
      <w:r>
        <w:rPr>
          <w:rFonts w:hint="eastAsia"/>
          <w:szCs w:val="21"/>
        </w:rPr>
        <w:t>月</w:t>
      </w:r>
      <w:r>
        <w:rPr>
          <w:rFonts w:hint="eastAsia"/>
          <w:bCs/>
          <w:szCs w:val="21"/>
          <w:u w:val="single"/>
        </w:rPr>
        <w:t xml:space="preserve">  </w:t>
      </w:r>
      <w:r>
        <w:rPr>
          <w:rFonts w:hint="eastAsia"/>
          <w:szCs w:val="21"/>
        </w:rPr>
        <w:t>日</w:t>
      </w: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p>
    <w:p>
      <w:pPr>
        <w:spacing w:line="420" w:lineRule="auto"/>
        <w:ind w:firstLine="2786" w:firstLineChars="995"/>
        <w:rPr>
          <w:b/>
          <w:bCs/>
          <w:sz w:val="28"/>
          <w:szCs w:val="28"/>
        </w:rPr>
      </w:pPr>
      <w:r>
        <w:rPr>
          <w:rFonts w:hint="eastAsia"/>
          <w:b/>
          <w:bCs/>
          <w:sz w:val="28"/>
          <w:szCs w:val="28"/>
        </w:rPr>
        <w:t>七、人员配备一览表</w:t>
      </w:r>
    </w:p>
    <w:p>
      <w:pPr>
        <w:spacing w:line="360" w:lineRule="auto"/>
        <w:rPr>
          <w:szCs w:val="21"/>
        </w:rPr>
      </w:pPr>
    </w:p>
    <w:p>
      <w:pPr>
        <w:spacing w:line="360" w:lineRule="auto"/>
        <w:rPr>
          <w:szCs w:val="21"/>
        </w:rPr>
      </w:pPr>
      <w:r>
        <w:rPr>
          <w:rFonts w:hint="eastAsia"/>
          <w:szCs w:val="21"/>
        </w:rPr>
        <w:t>项目名称：</w:t>
      </w:r>
      <w:r>
        <w:rPr>
          <w:rFonts w:hint="eastAsia"/>
          <w:szCs w:val="21"/>
          <w:u w:val="single"/>
        </w:rPr>
        <w:t xml:space="preserve">             </w:t>
      </w:r>
      <w:r>
        <w:rPr>
          <w:szCs w:val="21"/>
        </w:rPr>
        <w:t xml:space="preserve">      </w:t>
      </w:r>
    </w:p>
    <w:p>
      <w:pPr>
        <w:spacing w:line="360" w:lineRule="auto"/>
        <w:rPr>
          <w:szCs w:val="21"/>
        </w:rPr>
      </w:pPr>
      <w:r>
        <w:rPr>
          <w:rFonts w:hint="eastAsia"/>
          <w:szCs w:val="21"/>
        </w:rPr>
        <w:t>比选编号：</w:t>
      </w:r>
      <w:r>
        <w:rPr>
          <w:rFonts w:hint="eastAsia"/>
          <w:szCs w:val="21"/>
          <w:u w:val="single"/>
        </w:rPr>
        <w:t xml:space="preserve">             </w:t>
      </w:r>
    </w:p>
    <w:tbl>
      <w:tblPr>
        <w:tblStyle w:val="9"/>
        <w:tblW w:w="901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34"/>
        <w:gridCol w:w="697"/>
        <w:gridCol w:w="867"/>
        <w:gridCol w:w="867"/>
        <w:gridCol w:w="1040"/>
        <w:gridCol w:w="863"/>
        <w:gridCol w:w="861"/>
        <w:gridCol w:w="1220"/>
        <w:gridCol w:w="186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序号</w:t>
            </w:r>
          </w:p>
        </w:tc>
        <w:tc>
          <w:tcPr>
            <w:tcW w:w="697"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姓名</w:t>
            </w:r>
          </w:p>
        </w:tc>
        <w:tc>
          <w:tcPr>
            <w:tcW w:w="867"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性别</w:t>
            </w:r>
          </w:p>
        </w:tc>
        <w:tc>
          <w:tcPr>
            <w:tcW w:w="867"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年龄</w:t>
            </w:r>
          </w:p>
        </w:tc>
        <w:tc>
          <w:tcPr>
            <w:tcW w:w="1040"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职称</w:t>
            </w:r>
          </w:p>
        </w:tc>
        <w:tc>
          <w:tcPr>
            <w:tcW w:w="863"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专业</w:t>
            </w:r>
          </w:p>
        </w:tc>
        <w:tc>
          <w:tcPr>
            <w:tcW w:w="861"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最高学历</w:t>
            </w:r>
          </w:p>
        </w:tc>
        <w:tc>
          <w:tcPr>
            <w:tcW w:w="1220" w:type="dxa"/>
            <w:vAlign w:val="center"/>
          </w:tcPr>
          <w:p>
            <w:pPr>
              <w:snapToGrid w:val="0"/>
              <w:jc w:val="center"/>
              <w:rPr>
                <w:rFonts w:cs="宋体"/>
                <w:kern w:val="0"/>
                <w:szCs w:val="21"/>
              </w:rPr>
            </w:pPr>
            <w:r>
              <w:rPr>
                <w:rFonts w:hint="eastAsia" w:cs="宋体"/>
                <w:kern w:val="0"/>
                <w:szCs w:val="21"/>
              </w:rPr>
              <w:t>相关注</w:t>
            </w:r>
          </w:p>
          <w:p>
            <w:pPr>
              <w:pStyle w:val="15"/>
              <w:keepNext w:val="0"/>
              <w:adjustRightInd/>
              <w:spacing w:before="0" w:after="0" w:line="240" w:lineRule="auto"/>
              <w:rPr>
                <w:rFonts w:ascii="宋体" w:hAnsi="宋体"/>
                <w:spacing w:val="0"/>
                <w:kern w:val="2"/>
                <w:sz w:val="21"/>
                <w:szCs w:val="21"/>
              </w:rPr>
            </w:pPr>
            <w:r>
              <w:rPr>
                <w:rFonts w:hint="eastAsia" w:ascii="宋体" w:hAnsi="宋体" w:cs="宋体"/>
                <w:sz w:val="21"/>
                <w:szCs w:val="21"/>
              </w:rPr>
              <w:t>册资格</w:t>
            </w:r>
          </w:p>
        </w:tc>
        <w:tc>
          <w:tcPr>
            <w:tcW w:w="1862" w:type="dxa"/>
            <w:vAlign w:val="center"/>
          </w:tcPr>
          <w:p>
            <w:pPr>
              <w:pStyle w:val="15"/>
              <w:keepNext w:val="0"/>
              <w:adjustRightInd/>
              <w:spacing w:before="0" w:after="0" w:line="240" w:lineRule="auto"/>
              <w:rPr>
                <w:rFonts w:ascii="宋体" w:hAnsi="宋体"/>
                <w:spacing w:val="0"/>
                <w:kern w:val="2"/>
                <w:sz w:val="21"/>
                <w:szCs w:val="21"/>
              </w:rPr>
            </w:pPr>
            <w:r>
              <w:rPr>
                <w:rFonts w:hint="eastAsia" w:ascii="宋体" w:hAnsi="宋体"/>
                <w:spacing w:val="0"/>
                <w:kern w:val="2"/>
                <w:sz w:val="21"/>
                <w:szCs w:val="21"/>
              </w:rPr>
              <w:t>拟承担工作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p>
        </w:tc>
        <w:tc>
          <w:tcPr>
            <w:tcW w:w="69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1040" w:type="dxa"/>
            <w:vAlign w:val="center"/>
          </w:tcPr>
          <w:p>
            <w:pPr>
              <w:pStyle w:val="15"/>
              <w:keepNext w:val="0"/>
              <w:adjustRightInd/>
              <w:spacing w:before="0" w:after="0" w:line="240" w:lineRule="auto"/>
              <w:rPr>
                <w:rFonts w:ascii="宋体" w:hAnsi="宋体"/>
                <w:spacing w:val="0"/>
                <w:kern w:val="2"/>
                <w:sz w:val="21"/>
                <w:szCs w:val="21"/>
              </w:rPr>
            </w:pPr>
          </w:p>
        </w:tc>
        <w:tc>
          <w:tcPr>
            <w:tcW w:w="863" w:type="dxa"/>
            <w:vAlign w:val="center"/>
          </w:tcPr>
          <w:p>
            <w:pPr>
              <w:pStyle w:val="15"/>
              <w:keepNext w:val="0"/>
              <w:adjustRightInd/>
              <w:spacing w:before="0" w:after="0" w:line="240" w:lineRule="auto"/>
              <w:jc w:val="both"/>
              <w:rPr>
                <w:rFonts w:ascii="宋体" w:hAnsi="宋体"/>
                <w:spacing w:val="0"/>
                <w:kern w:val="2"/>
                <w:sz w:val="21"/>
                <w:szCs w:val="21"/>
              </w:rPr>
            </w:pPr>
          </w:p>
        </w:tc>
        <w:tc>
          <w:tcPr>
            <w:tcW w:w="861" w:type="dxa"/>
            <w:vAlign w:val="center"/>
          </w:tcPr>
          <w:p>
            <w:pPr>
              <w:pStyle w:val="15"/>
              <w:keepNext w:val="0"/>
              <w:adjustRightInd/>
              <w:spacing w:before="0" w:after="0" w:line="240" w:lineRule="auto"/>
              <w:jc w:val="both"/>
              <w:rPr>
                <w:rFonts w:ascii="宋体" w:hAnsi="宋体"/>
                <w:spacing w:val="0"/>
                <w:kern w:val="2"/>
                <w:sz w:val="21"/>
                <w:szCs w:val="21"/>
              </w:rPr>
            </w:pPr>
          </w:p>
        </w:tc>
        <w:tc>
          <w:tcPr>
            <w:tcW w:w="1220" w:type="dxa"/>
            <w:vAlign w:val="center"/>
          </w:tcPr>
          <w:p>
            <w:pPr>
              <w:pStyle w:val="15"/>
              <w:keepNext w:val="0"/>
              <w:adjustRightInd/>
              <w:spacing w:before="0" w:after="0" w:line="240" w:lineRule="auto"/>
              <w:rPr>
                <w:rFonts w:ascii="宋体" w:hAnsi="宋体"/>
                <w:spacing w:val="0"/>
                <w:kern w:val="2"/>
                <w:sz w:val="21"/>
                <w:szCs w:val="21"/>
              </w:rPr>
            </w:pPr>
          </w:p>
        </w:tc>
        <w:tc>
          <w:tcPr>
            <w:tcW w:w="1862" w:type="dxa"/>
            <w:vAlign w:val="center"/>
          </w:tcPr>
          <w:p>
            <w:pPr>
              <w:pStyle w:val="15"/>
              <w:keepNext w:val="0"/>
              <w:adjustRightInd/>
              <w:spacing w:before="0" w:after="0" w:line="240" w:lineRule="auto"/>
              <w:rPr>
                <w:rFonts w:ascii="宋体" w:hAnsi="宋体"/>
                <w:spacing w:val="0"/>
                <w:kern w:val="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p>
        </w:tc>
        <w:tc>
          <w:tcPr>
            <w:tcW w:w="69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1040" w:type="dxa"/>
            <w:vAlign w:val="center"/>
          </w:tcPr>
          <w:p>
            <w:pPr>
              <w:pStyle w:val="15"/>
              <w:keepNext w:val="0"/>
              <w:adjustRightInd/>
              <w:spacing w:before="0" w:after="0" w:line="240" w:lineRule="auto"/>
              <w:rPr>
                <w:rFonts w:ascii="宋体" w:hAnsi="宋体"/>
                <w:spacing w:val="0"/>
                <w:kern w:val="2"/>
                <w:sz w:val="21"/>
                <w:szCs w:val="21"/>
              </w:rPr>
            </w:pPr>
          </w:p>
        </w:tc>
        <w:tc>
          <w:tcPr>
            <w:tcW w:w="863" w:type="dxa"/>
            <w:vAlign w:val="center"/>
          </w:tcPr>
          <w:p>
            <w:pPr>
              <w:pStyle w:val="15"/>
              <w:keepNext w:val="0"/>
              <w:adjustRightInd/>
              <w:spacing w:before="0" w:after="0" w:line="240" w:lineRule="auto"/>
              <w:jc w:val="both"/>
              <w:rPr>
                <w:rFonts w:ascii="宋体" w:hAnsi="宋体"/>
                <w:spacing w:val="0"/>
                <w:kern w:val="2"/>
                <w:sz w:val="21"/>
                <w:szCs w:val="21"/>
              </w:rPr>
            </w:pPr>
          </w:p>
        </w:tc>
        <w:tc>
          <w:tcPr>
            <w:tcW w:w="861" w:type="dxa"/>
            <w:vAlign w:val="center"/>
          </w:tcPr>
          <w:p>
            <w:pPr>
              <w:pStyle w:val="15"/>
              <w:keepNext w:val="0"/>
              <w:adjustRightInd/>
              <w:spacing w:before="0" w:after="0" w:line="240" w:lineRule="auto"/>
              <w:jc w:val="both"/>
              <w:rPr>
                <w:rFonts w:ascii="宋体" w:hAnsi="宋体"/>
                <w:spacing w:val="0"/>
                <w:kern w:val="2"/>
                <w:sz w:val="21"/>
                <w:szCs w:val="21"/>
              </w:rPr>
            </w:pPr>
          </w:p>
        </w:tc>
        <w:tc>
          <w:tcPr>
            <w:tcW w:w="1220" w:type="dxa"/>
            <w:vAlign w:val="center"/>
          </w:tcPr>
          <w:p>
            <w:pPr>
              <w:pStyle w:val="15"/>
              <w:keepNext w:val="0"/>
              <w:adjustRightInd/>
              <w:spacing w:before="0" w:after="0" w:line="240" w:lineRule="auto"/>
              <w:rPr>
                <w:rFonts w:ascii="宋体" w:hAnsi="宋体"/>
                <w:spacing w:val="0"/>
                <w:kern w:val="2"/>
                <w:sz w:val="21"/>
                <w:szCs w:val="21"/>
              </w:rPr>
            </w:pPr>
          </w:p>
        </w:tc>
        <w:tc>
          <w:tcPr>
            <w:tcW w:w="1862" w:type="dxa"/>
            <w:vAlign w:val="center"/>
          </w:tcPr>
          <w:p>
            <w:pPr>
              <w:pStyle w:val="15"/>
              <w:keepNext w:val="0"/>
              <w:adjustRightInd/>
              <w:spacing w:before="0" w:after="0" w:line="240" w:lineRule="auto"/>
              <w:rPr>
                <w:rFonts w:ascii="宋体" w:hAnsi="宋体"/>
                <w:spacing w:val="0"/>
                <w:kern w:val="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p>
        </w:tc>
        <w:tc>
          <w:tcPr>
            <w:tcW w:w="69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1040" w:type="dxa"/>
            <w:vAlign w:val="center"/>
          </w:tcPr>
          <w:p>
            <w:pPr>
              <w:pStyle w:val="15"/>
              <w:keepNext w:val="0"/>
              <w:adjustRightInd/>
              <w:spacing w:before="0" w:after="0" w:line="240" w:lineRule="auto"/>
              <w:rPr>
                <w:rFonts w:ascii="宋体" w:hAnsi="宋体"/>
                <w:spacing w:val="0"/>
                <w:kern w:val="2"/>
                <w:sz w:val="21"/>
                <w:szCs w:val="21"/>
              </w:rPr>
            </w:pPr>
          </w:p>
        </w:tc>
        <w:tc>
          <w:tcPr>
            <w:tcW w:w="863" w:type="dxa"/>
            <w:vAlign w:val="center"/>
          </w:tcPr>
          <w:p>
            <w:pPr>
              <w:pStyle w:val="15"/>
              <w:keepNext w:val="0"/>
              <w:adjustRightInd/>
              <w:spacing w:before="0" w:after="0" w:line="240" w:lineRule="auto"/>
              <w:jc w:val="both"/>
              <w:rPr>
                <w:rFonts w:ascii="宋体" w:hAnsi="宋体"/>
                <w:spacing w:val="0"/>
                <w:kern w:val="2"/>
                <w:sz w:val="21"/>
                <w:szCs w:val="21"/>
              </w:rPr>
            </w:pPr>
          </w:p>
        </w:tc>
        <w:tc>
          <w:tcPr>
            <w:tcW w:w="861" w:type="dxa"/>
            <w:vAlign w:val="center"/>
          </w:tcPr>
          <w:p>
            <w:pPr>
              <w:pStyle w:val="15"/>
              <w:keepNext w:val="0"/>
              <w:adjustRightInd/>
              <w:spacing w:before="0" w:after="0" w:line="240" w:lineRule="auto"/>
              <w:jc w:val="both"/>
              <w:rPr>
                <w:rFonts w:ascii="宋体" w:hAnsi="宋体"/>
                <w:spacing w:val="0"/>
                <w:kern w:val="2"/>
                <w:sz w:val="21"/>
                <w:szCs w:val="21"/>
              </w:rPr>
            </w:pPr>
          </w:p>
        </w:tc>
        <w:tc>
          <w:tcPr>
            <w:tcW w:w="1220" w:type="dxa"/>
            <w:vAlign w:val="center"/>
          </w:tcPr>
          <w:p>
            <w:pPr>
              <w:pStyle w:val="15"/>
              <w:keepNext w:val="0"/>
              <w:adjustRightInd/>
              <w:spacing w:before="0" w:after="0" w:line="240" w:lineRule="auto"/>
              <w:rPr>
                <w:rFonts w:ascii="宋体" w:hAnsi="宋体"/>
                <w:spacing w:val="0"/>
                <w:kern w:val="2"/>
                <w:sz w:val="21"/>
                <w:szCs w:val="21"/>
              </w:rPr>
            </w:pPr>
          </w:p>
        </w:tc>
        <w:tc>
          <w:tcPr>
            <w:tcW w:w="1862" w:type="dxa"/>
            <w:vAlign w:val="center"/>
          </w:tcPr>
          <w:p>
            <w:pPr>
              <w:pStyle w:val="15"/>
              <w:keepNext w:val="0"/>
              <w:adjustRightInd/>
              <w:spacing w:before="0" w:after="0" w:line="240" w:lineRule="auto"/>
              <w:rPr>
                <w:rFonts w:ascii="宋体" w:hAnsi="宋体"/>
                <w:spacing w:val="0"/>
                <w:kern w:val="2"/>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34" w:type="dxa"/>
            <w:vAlign w:val="center"/>
          </w:tcPr>
          <w:p>
            <w:pPr>
              <w:pStyle w:val="15"/>
              <w:keepNext w:val="0"/>
              <w:adjustRightInd/>
              <w:spacing w:before="0" w:after="0" w:line="240" w:lineRule="auto"/>
              <w:rPr>
                <w:rFonts w:ascii="宋体" w:hAnsi="宋体"/>
                <w:spacing w:val="0"/>
                <w:kern w:val="2"/>
                <w:sz w:val="21"/>
                <w:szCs w:val="21"/>
              </w:rPr>
            </w:pPr>
          </w:p>
        </w:tc>
        <w:tc>
          <w:tcPr>
            <w:tcW w:w="69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867" w:type="dxa"/>
            <w:vAlign w:val="center"/>
          </w:tcPr>
          <w:p>
            <w:pPr>
              <w:pStyle w:val="15"/>
              <w:keepNext w:val="0"/>
              <w:adjustRightInd/>
              <w:spacing w:before="0" w:after="0" w:line="240" w:lineRule="auto"/>
              <w:rPr>
                <w:rFonts w:ascii="宋体" w:hAnsi="宋体"/>
                <w:spacing w:val="0"/>
                <w:kern w:val="2"/>
                <w:sz w:val="21"/>
                <w:szCs w:val="21"/>
              </w:rPr>
            </w:pPr>
          </w:p>
        </w:tc>
        <w:tc>
          <w:tcPr>
            <w:tcW w:w="1040" w:type="dxa"/>
            <w:vAlign w:val="center"/>
          </w:tcPr>
          <w:p>
            <w:pPr>
              <w:pStyle w:val="15"/>
              <w:keepNext w:val="0"/>
              <w:adjustRightInd/>
              <w:spacing w:before="0" w:after="0" w:line="240" w:lineRule="auto"/>
              <w:rPr>
                <w:rFonts w:ascii="宋体" w:hAnsi="宋体"/>
                <w:spacing w:val="0"/>
                <w:kern w:val="2"/>
                <w:sz w:val="21"/>
                <w:szCs w:val="21"/>
              </w:rPr>
            </w:pPr>
          </w:p>
        </w:tc>
        <w:tc>
          <w:tcPr>
            <w:tcW w:w="863" w:type="dxa"/>
            <w:vAlign w:val="center"/>
          </w:tcPr>
          <w:p>
            <w:pPr>
              <w:pStyle w:val="15"/>
              <w:keepNext w:val="0"/>
              <w:adjustRightInd/>
              <w:spacing w:before="0" w:after="0" w:line="240" w:lineRule="auto"/>
              <w:jc w:val="both"/>
              <w:rPr>
                <w:rFonts w:ascii="宋体" w:hAnsi="宋体"/>
                <w:spacing w:val="0"/>
                <w:kern w:val="2"/>
                <w:sz w:val="21"/>
                <w:szCs w:val="21"/>
              </w:rPr>
            </w:pPr>
          </w:p>
        </w:tc>
        <w:tc>
          <w:tcPr>
            <w:tcW w:w="861" w:type="dxa"/>
            <w:vAlign w:val="center"/>
          </w:tcPr>
          <w:p>
            <w:pPr>
              <w:pStyle w:val="15"/>
              <w:keepNext w:val="0"/>
              <w:adjustRightInd/>
              <w:spacing w:before="0" w:after="0" w:line="240" w:lineRule="auto"/>
              <w:jc w:val="both"/>
              <w:rPr>
                <w:rFonts w:ascii="宋体" w:hAnsi="宋体"/>
                <w:spacing w:val="0"/>
                <w:kern w:val="2"/>
                <w:sz w:val="21"/>
                <w:szCs w:val="21"/>
              </w:rPr>
            </w:pPr>
          </w:p>
        </w:tc>
        <w:tc>
          <w:tcPr>
            <w:tcW w:w="1220" w:type="dxa"/>
            <w:vAlign w:val="center"/>
          </w:tcPr>
          <w:p>
            <w:pPr>
              <w:pStyle w:val="15"/>
              <w:keepNext w:val="0"/>
              <w:adjustRightInd/>
              <w:spacing w:before="0" w:after="0" w:line="240" w:lineRule="auto"/>
              <w:rPr>
                <w:rFonts w:ascii="宋体" w:hAnsi="宋体"/>
                <w:spacing w:val="0"/>
                <w:kern w:val="2"/>
                <w:sz w:val="21"/>
                <w:szCs w:val="21"/>
              </w:rPr>
            </w:pPr>
          </w:p>
        </w:tc>
        <w:tc>
          <w:tcPr>
            <w:tcW w:w="1862" w:type="dxa"/>
            <w:vAlign w:val="center"/>
          </w:tcPr>
          <w:p>
            <w:pPr>
              <w:pStyle w:val="15"/>
              <w:keepNext w:val="0"/>
              <w:adjustRightInd/>
              <w:spacing w:before="0" w:after="0" w:line="240" w:lineRule="auto"/>
              <w:rPr>
                <w:rFonts w:ascii="宋体" w:hAnsi="宋体"/>
                <w:spacing w:val="0"/>
                <w:kern w:val="2"/>
                <w:sz w:val="21"/>
                <w:szCs w:val="21"/>
              </w:rPr>
            </w:pPr>
          </w:p>
        </w:tc>
      </w:tr>
    </w:tbl>
    <w:p>
      <w:pPr>
        <w:spacing w:line="420" w:lineRule="auto"/>
        <w:rPr>
          <w:b/>
          <w:bCs/>
        </w:rPr>
      </w:pPr>
      <w:r>
        <w:rPr>
          <w:rFonts w:hint="eastAsia"/>
          <w:bCs/>
          <w:szCs w:val="21"/>
        </w:rPr>
        <w:t>注：报价人应附上有关个人学历、学位、职称等证明文件（扫描件，并加盖公章）</w:t>
      </w:r>
    </w:p>
    <w:p>
      <w:pPr>
        <w:adjustRightInd w:val="0"/>
        <w:snapToGrid w:val="0"/>
        <w:spacing w:before="93" w:beforeLines="30" w:line="400" w:lineRule="exact"/>
        <w:rPr>
          <w:bCs/>
          <w:szCs w:val="21"/>
        </w:rPr>
      </w:pPr>
    </w:p>
    <w:p>
      <w:pPr>
        <w:numPr>
          <w:ilvl w:val="0"/>
          <w:numId w:val="1"/>
        </w:numPr>
        <w:tabs>
          <w:tab w:val="left" w:pos="993"/>
          <w:tab w:val="left" w:pos="4716"/>
          <w:tab w:val="left" w:pos="7559"/>
        </w:tabs>
        <w:spacing w:line="300" w:lineRule="auto"/>
        <w:ind w:left="0" w:firstLine="0"/>
        <w:jc w:val="center"/>
        <w:outlineLvl w:val="0"/>
        <w:rPr>
          <w:b/>
          <w:sz w:val="30"/>
          <w:szCs w:val="30"/>
        </w:rPr>
      </w:pPr>
      <w:r>
        <w:rPr>
          <w:rFonts w:hint="eastAsia"/>
          <w:b/>
          <w:sz w:val="30"/>
          <w:szCs w:val="30"/>
        </w:rPr>
        <w:br w:type="page"/>
      </w:r>
      <w:r>
        <w:rPr>
          <w:rFonts w:hint="eastAsia"/>
          <w:b/>
          <w:sz w:val="30"/>
          <w:szCs w:val="30"/>
        </w:rPr>
        <w:t xml:space="preserve">  </w:t>
      </w:r>
      <w:bookmarkStart w:id="48" w:name="_Toc406932437"/>
      <w:r>
        <w:rPr>
          <w:rFonts w:hint="eastAsia"/>
          <w:b/>
          <w:sz w:val="30"/>
          <w:szCs w:val="30"/>
        </w:rPr>
        <w:t>合同协议条款</w:t>
      </w:r>
      <w:bookmarkEnd w:id="48"/>
    </w:p>
    <w:p>
      <w:pPr>
        <w:tabs>
          <w:tab w:val="left" w:pos="993"/>
          <w:tab w:val="left" w:pos="4716"/>
          <w:tab w:val="left" w:pos="7559"/>
        </w:tabs>
        <w:spacing w:line="300" w:lineRule="auto"/>
        <w:jc w:val="center"/>
        <w:outlineLvl w:val="0"/>
        <w:rPr>
          <w:b/>
          <w:sz w:val="30"/>
          <w:szCs w:val="30"/>
        </w:rPr>
      </w:pPr>
      <w:r>
        <w:rPr>
          <w:rFonts w:hint="eastAsia"/>
          <w:b/>
          <w:sz w:val="30"/>
          <w:szCs w:val="30"/>
        </w:rPr>
        <w:t>广州市公共交通集团有限公司大数据共享与管理平台监理项目合同</w:t>
      </w:r>
    </w:p>
    <w:p>
      <w:pPr>
        <w:adjustRightInd w:val="0"/>
        <w:snapToGrid w:val="0"/>
        <w:spacing w:before="93" w:beforeLines="30" w:line="400" w:lineRule="exact"/>
        <w:jc w:val="center"/>
        <w:rPr>
          <w:bCs/>
          <w:szCs w:val="21"/>
        </w:rPr>
      </w:pPr>
    </w:p>
    <w:p>
      <w:pPr>
        <w:adjustRightInd w:val="0"/>
        <w:snapToGrid w:val="0"/>
        <w:spacing w:before="93" w:beforeLines="30" w:line="400" w:lineRule="exact"/>
        <w:rPr>
          <w:bCs/>
          <w:szCs w:val="21"/>
        </w:rPr>
      </w:pPr>
      <w:r>
        <w:rPr>
          <w:rFonts w:hint="eastAsia"/>
          <w:bCs/>
          <w:szCs w:val="21"/>
        </w:rPr>
        <w:t>甲方：</w:t>
      </w:r>
      <w:r>
        <w:rPr>
          <w:rFonts w:hint="eastAsia"/>
          <w:bCs/>
          <w:szCs w:val="21"/>
          <w:u w:val="single"/>
        </w:rPr>
        <w:t xml:space="preserve">                                          </w:t>
      </w:r>
      <w:r>
        <w:rPr>
          <w:rFonts w:hint="eastAsia"/>
          <w:bCs/>
          <w:szCs w:val="21"/>
        </w:rPr>
        <w:t xml:space="preserve"> </w:t>
      </w:r>
      <w:r>
        <w:rPr>
          <w:bCs/>
          <w:szCs w:val="21"/>
        </w:rPr>
        <w:t xml:space="preserve"> </w:t>
      </w:r>
    </w:p>
    <w:p>
      <w:pPr>
        <w:adjustRightInd w:val="0"/>
        <w:snapToGrid w:val="0"/>
        <w:spacing w:before="93" w:beforeLines="30" w:line="400" w:lineRule="exact"/>
        <w:rPr>
          <w:bCs/>
          <w:szCs w:val="21"/>
        </w:rPr>
      </w:pPr>
      <w:r>
        <w:rPr>
          <w:rFonts w:hint="eastAsia"/>
          <w:bCs/>
          <w:szCs w:val="21"/>
        </w:rPr>
        <w:t>乙方：</w:t>
      </w:r>
      <w:r>
        <w:rPr>
          <w:rFonts w:hint="eastAsia"/>
          <w:bCs/>
          <w:szCs w:val="21"/>
          <w:u w:val="single"/>
        </w:rPr>
        <w:t xml:space="preserve">                                          </w:t>
      </w:r>
    </w:p>
    <w:p>
      <w:pPr>
        <w:adjustRightInd w:val="0"/>
        <w:snapToGrid w:val="0"/>
        <w:spacing w:before="93" w:beforeLines="30" w:line="400" w:lineRule="exact"/>
        <w:rPr>
          <w:bCs/>
          <w:szCs w:val="21"/>
        </w:rPr>
      </w:pPr>
    </w:p>
    <w:p>
      <w:pPr>
        <w:adjustRightInd w:val="0"/>
        <w:snapToGrid w:val="0"/>
        <w:spacing w:before="93" w:beforeLines="30" w:line="360" w:lineRule="auto"/>
        <w:ind w:firstLine="420" w:firstLineChars="200"/>
        <w:rPr>
          <w:bCs/>
          <w:szCs w:val="21"/>
        </w:rPr>
      </w:pPr>
      <w:r>
        <w:rPr>
          <w:rFonts w:hint="eastAsia"/>
        </w:rPr>
        <w:t>因广州市公共交通集团有限公司大数据共享与管理平台项目（下称“大数据平台”）建设在即，为对大数据平台建设的过程和结果更好地管控，</w:t>
      </w:r>
      <w:r>
        <w:rPr>
          <w:rFonts w:hint="eastAsia"/>
          <w:bCs/>
          <w:szCs w:val="21"/>
        </w:rPr>
        <w:t>甲方委托乙方开展对</w:t>
      </w:r>
      <w:r>
        <w:rPr>
          <w:rFonts w:hint="eastAsia"/>
        </w:rPr>
        <w:t>大数据平台做好监理服务</w:t>
      </w:r>
      <w:r>
        <w:rPr>
          <w:rFonts w:hint="eastAsia"/>
          <w:bCs/>
          <w:szCs w:val="21"/>
        </w:rPr>
        <w:t>。现根据《中华人民共和国合同法》等法律法规，本着平等互利和诚实信用的原则，经甲乙双方充分协商一致，签订本合同，约定共同遵照执行。</w:t>
      </w:r>
    </w:p>
    <w:p>
      <w:pPr>
        <w:adjustRightInd w:val="0"/>
        <w:snapToGrid w:val="0"/>
        <w:spacing w:before="93" w:beforeLines="30" w:line="360" w:lineRule="auto"/>
        <w:rPr>
          <w:b/>
          <w:bCs/>
          <w:szCs w:val="21"/>
        </w:rPr>
      </w:pPr>
      <w:r>
        <w:rPr>
          <w:rFonts w:hint="eastAsia"/>
          <w:b/>
          <w:bCs/>
          <w:szCs w:val="21"/>
        </w:rPr>
        <w:t>第一条 工作任务范围</w:t>
      </w:r>
    </w:p>
    <w:p>
      <w:pPr>
        <w:adjustRightInd w:val="0"/>
        <w:snapToGrid w:val="0"/>
        <w:spacing w:before="93" w:beforeLines="30" w:line="360" w:lineRule="auto"/>
        <w:ind w:firstLine="420" w:firstLineChars="200"/>
        <w:rPr>
          <w:bCs/>
          <w:szCs w:val="21"/>
        </w:rPr>
      </w:pPr>
      <w:r>
        <w:rPr>
          <w:rFonts w:hint="eastAsia"/>
        </w:rPr>
        <w:t>广州市公共交通集团有限公司大数据平台监理服务</w:t>
      </w:r>
      <w:r>
        <w:rPr>
          <w:rFonts w:hint="eastAsia"/>
          <w:bCs/>
          <w:szCs w:val="21"/>
        </w:rPr>
        <w:t>。</w:t>
      </w:r>
    </w:p>
    <w:p>
      <w:pPr>
        <w:adjustRightInd w:val="0"/>
        <w:snapToGrid w:val="0"/>
        <w:spacing w:before="93" w:beforeLines="30" w:line="360" w:lineRule="auto"/>
        <w:rPr>
          <w:b/>
          <w:bCs/>
          <w:szCs w:val="21"/>
        </w:rPr>
      </w:pPr>
      <w:r>
        <w:rPr>
          <w:rFonts w:hint="eastAsia"/>
          <w:b/>
          <w:bCs/>
          <w:szCs w:val="21"/>
        </w:rPr>
        <w:t>第二条 工作内容</w:t>
      </w:r>
      <w:r>
        <w:rPr>
          <w:rFonts w:hint="eastAsia"/>
          <w:b/>
          <w:bCs/>
          <w:szCs w:val="21"/>
        </w:rPr>
        <w:tab/>
      </w:r>
    </w:p>
    <w:p>
      <w:pPr>
        <w:pStyle w:val="12"/>
        <w:rPr>
          <w:rFonts w:hAnsi="宋体"/>
          <w:sz w:val="24"/>
        </w:rPr>
      </w:pPr>
      <w:r>
        <w:rPr>
          <w:rFonts w:hint="eastAsia" w:hAnsi="宋体"/>
          <w:sz w:val="24"/>
        </w:rPr>
        <w:t>（一）总体要求</w:t>
      </w:r>
    </w:p>
    <w:p>
      <w:pPr>
        <w:widowControl/>
        <w:spacing w:line="360" w:lineRule="auto"/>
        <w:ind w:firstLine="420" w:firstLineChars="200"/>
        <w:jc w:val="left"/>
      </w:pPr>
      <w:r>
        <w:rPr>
          <w:rFonts w:hint="eastAsia"/>
        </w:rPr>
        <w:t>投标人的监理方案需涵盖从施工到工程竣工验收全过程，包括建设内容、监理要求、监理内容、质量管理方式、组织实施、进度安排、培训与售后服务、工程分阶段验收和竣工验收等。监理方案应明确监理的各项运行，包括监理人员的相关资料、职能分配及工作流程，各项监理工作的相关负责人等，并认真履行全过程监理职责。</w:t>
      </w:r>
    </w:p>
    <w:p>
      <w:pPr>
        <w:widowControl/>
        <w:spacing w:line="360" w:lineRule="auto"/>
        <w:ind w:firstLine="420" w:firstLineChars="200"/>
        <w:jc w:val="left"/>
      </w:pPr>
      <w:r>
        <w:rPr>
          <w:rFonts w:hint="eastAsia"/>
        </w:rPr>
        <w:t>在项目进入实施阶段后，监理方应建立良好的协调和沟通机制，以及必要的工作制度，加强建设单位与承建单位之间的多方沟通，使承建单位能够更全面、准确的了解建设单位的实际需求。同时，监理方应让建设单位及时了解项目的进展情况，建立与建设单位、承建单位之间的良好合作协调机制，形成合力，高质高效完成项目建设。</w:t>
      </w:r>
    </w:p>
    <w:p>
      <w:pPr>
        <w:widowControl/>
        <w:spacing w:line="360" w:lineRule="auto"/>
        <w:ind w:firstLine="420" w:firstLineChars="200"/>
        <w:jc w:val="left"/>
      </w:pPr>
      <w:r>
        <w:rPr>
          <w:rFonts w:hint="eastAsia"/>
        </w:rPr>
        <w:t>项目建设的全过程需有一套明确、合理、可行的标准、规程和检验方式，以及相应的监管办法。监理方需提供监理本工程所需的监理工具。</w:t>
      </w:r>
    </w:p>
    <w:p>
      <w:pPr>
        <w:widowControl/>
        <w:spacing w:line="360" w:lineRule="auto"/>
        <w:ind w:firstLine="420" w:firstLineChars="200"/>
        <w:jc w:val="left"/>
      </w:pPr>
      <w:r>
        <w:rPr>
          <w:rFonts w:hint="eastAsia"/>
        </w:rPr>
        <w:t>监理方应保证项目的关键技术指标在项目实施过程中处于受控状态，及早预测可能影响实施计划的各种因素，及时预防和纠正可能影响系统功能和性能所出现的问题</w:t>
      </w:r>
      <w:r>
        <w:t>,确保项目保质、按期和在合理的资金预算范围内进行实施建设。</w:t>
      </w:r>
    </w:p>
    <w:p>
      <w:pPr>
        <w:widowControl/>
        <w:spacing w:line="360" w:lineRule="auto"/>
        <w:ind w:firstLine="420" w:firstLineChars="200"/>
        <w:jc w:val="left"/>
      </w:pPr>
      <w:r>
        <w:rPr>
          <w:rFonts w:hint="eastAsia"/>
        </w:rPr>
        <w:t>监理方应对工程质量水平进行综合评定。提交建设单位所需要的工程质量技术文档，包括监理日报、周报、月报、测试文档、测试报告和竣工报告等。</w:t>
      </w:r>
    </w:p>
    <w:p>
      <w:pPr>
        <w:pStyle w:val="12"/>
        <w:rPr>
          <w:rFonts w:hAnsi="宋体"/>
          <w:sz w:val="24"/>
        </w:rPr>
      </w:pPr>
      <w:r>
        <w:rPr>
          <w:rFonts w:hint="eastAsia" w:hAnsi="宋体"/>
          <w:sz w:val="24"/>
        </w:rPr>
        <w:t>（二）监理范围</w:t>
      </w:r>
    </w:p>
    <w:p>
      <w:pPr>
        <w:widowControl/>
        <w:spacing w:line="360" w:lineRule="auto"/>
        <w:ind w:firstLine="420" w:firstLineChars="200"/>
        <w:jc w:val="left"/>
      </w:pPr>
      <w:r>
        <w:rPr>
          <w:rFonts w:hint="eastAsia"/>
        </w:rPr>
        <w:t>根据本项目招标文件及委托监理合同中明确规定委托的监理工作范围，在广州市公共交通集团有限公司授权的范围内，对广州市公共交通集团有限公司大数据共享与管理项目进行设计、实施、验收工程监理，监理过程严格按照有关规定开展工作，对项目的进度、质量和投资进行有效的控制和管理、督促、检查承建单位落实安全、质量保证措施，做好组织协调工作，为广州市公共交通集团有限公司提供技术、经济和法律等方面的咨询服务，协助实现预定的合理建设目标：</w:t>
      </w:r>
    </w:p>
    <w:p>
      <w:pPr>
        <w:pStyle w:val="13"/>
        <w:spacing w:line="460" w:lineRule="exact"/>
        <w:ind w:firstLine="480" w:firstLineChars="200"/>
        <w:rPr>
          <w:rFonts w:ascii="宋体" w:hAnsi="宋体"/>
          <w:bCs/>
          <w:color w:val="000000"/>
          <w:sz w:val="24"/>
        </w:rPr>
      </w:pPr>
      <w:r>
        <w:rPr>
          <w:rFonts w:hint="eastAsia" w:ascii="宋体" w:hAnsi="宋体"/>
          <w:bCs/>
          <w:color w:val="000000"/>
          <w:sz w:val="24"/>
        </w:rPr>
        <w:t>1</w:t>
      </w:r>
      <w:r>
        <w:rPr>
          <w:rFonts w:hint="eastAsia" w:hAnsi="宋体"/>
          <w:bCs/>
          <w:color w:val="000000"/>
          <w:sz w:val="24"/>
        </w:rPr>
        <w:t>．</w:t>
      </w:r>
      <w:r>
        <w:rPr>
          <w:rFonts w:hint="eastAsia" w:ascii="宋体" w:hAnsi="宋体"/>
          <w:bCs/>
          <w:color w:val="000000"/>
          <w:sz w:val="24"/>
        </w:rPr>
        <w:t>硬件设备及系统集成监理</w:t>
      </w:r>
    </w:p>
    <w:p>
      <w:pPr>
        <w:pStyle w:val="13"/>
        <w:spacing w:line="460" w:lineRule="exact"/>
        <w:ind w:firstLine="480" w:firstLineChars="200"/>
        <w:rPr>
          <w:rFonts w:ascii="宋体" w:hAnsi="宋体"/>
          <w:color w:val="000000"/>
          <w:sz w:val="24"/>
        </w:rPr>
      </w:pPr>
      <w:r>
        <w:rPr>
          <w:rFonts w:hint="eastAsia" w:ascii="宋体" w:hAnsi="宋体"/>
          <w:color w:val="000000"/>
          <w:sz w:val="24"/>
        </w:rPr>
        <w:t>本监理项目包括为硬件安装和系统集成提供监理服务，具体的监理工作包括：</w:t>
      </w:r>
    </w:p>
    <w:p>
      <w:pPr>
        <w:pStyle w:val="13"/>
        <w:numPr>
          <w:ilvl w:val="0"/>
          <w:numId w:val="30"/>
        </w:numPr>
        <w:spacing w:line="460" w:lineRule="exact"/>
        <w:rPr>
          <w:rFonts w:ascii="宋体" w:hAnsi="宋体"/>
          <w:color w:val="000000"/>
          <w:sz w:val="24"/>
        </w:rPr>
      </w:pPr>
      <w:r>
        <w:rPr>
          <w:rFonts w:hint="eastAsia" w:ascii="宋体" w:hAnsi="宋体"/>
          <w:color w:val="000000"/>
          <w:sz w:val="24"/>
        </w:rPr>
        <w:t>对所有设备从订货到验收的全过程进行监督；</w:t>
      </w:r>
    </w:p>
    <w:p>
      <w:pPr>
        <w:pStyle w:val="13"/>
        <w:numPr>
          <w:ilvl w:val="0"/>
          <w:numId w:val="30"/>
        </w:numPr>
        <w:spacing w:line="460" w:lineRule="exact"/>
        <w:rPr>
          <w:rFonts w:ascii="宋体" w:hAnsi="宋体"/>
          <w:color w:val="000000"/>
          <w:sz w:val="24"/>
        </w:rPr>
      </w:pPr>
      <w:r>
        <w:rPr>
          <w:rFonts w:hint="eastAsia" w:ascii="宋体" w:hAnsi="宋体"/>
          <w:color w:val="000000"/>
          <w:sz w:val="24"/>
        </w:rPr>
        <w:t>对本项目硬件设备进行到货验收、安装调试和系统集成的监理、运行监测、验收测试。</w:t>
      </w:r>
    </w:p>
    <w:p>
      <w:pPr>
        <w:pStyle w:val="13"/>
        <w:numPr>
          <w:ilvl w:val="0"/>
          <w:numId w:val="30"/>
        </w:numPr>
        <w:spacing w:line="460" w:lineRule="exact"/>
        <w:rPr>
          <w:rFonts w:ascii="宋体" w:hAnsi="宋体"/>
          <w:color w:val="000000"/>
          <w:sz w:val="24"/>
        </w:rPr>
      </w:pPr>
      <w:r>
        <w:rPr>
          <w:rFonts w:hint="eastAsia" w:ascii="宋体" w:hAnsi="宋体"/>
          <w:color w:val="000000"/>
          <w:sz w:val="24"/>
        </w:rPr>
        <w:t>对硬件设备安装调试计划及集成方案进行审核；</w:t>
      </w:r>
    </w:p>
    <w:p>
      <w:pPr>
        <w:pStyle w:val="13"/>
        <w:numPr>
          <w:ilvl w:val="0"/>
          <w:numId w:val="30"/>
        </w:numPr>
        <w:spacing w:line="460" w:lineRule="exact"/>
        <w:rPr>
          <w:rFonts w:ascii="宋体" w:hAnsi="宋体"/>
          <w:color w:val="000000"/>
          <w:sz w:val="24"/>
        </w:rPr>
      </w:pPr>
      <w:r>
        <w:rPr>
          <w:rFonts w:hint="eastAsia" w:ascii="宋体" w:hAnsi="宋体"/>
          <w:color w:val="000000"/>
          <w:sz w:val="24"/>
        </w:rPr>
        <w:t>对设备及系统软件的安装调试进行全过程监督；</w:t>
      </w:r>
    </w:p>
    <w:p>
      <w:pPr>
        <w:pStyle w:val="13"/>
        <w:numPr>
          <w:ilvl w:val="0"/>
          <w:numId w:val="30"/>
        </w:numPr>
        <w:spacing w:line="460" w:lineRule="exact"/>
        <w:rPr>
          <w:rFonts w:ascii="宋体" w:hAnsi="宋体"/>
          <w:color w:val="000000"/>
          <w:sz w:val="24"/>
        </w:rPr>
      </w:pPr>
      <w:r>
        <w:rPr>
          <w:rFonts w:hint="eastAsia" w:ascii="宋体" w:hAnsi="宋体"/>
          <w:color w:val="000000"/>
          <w:sz w:val="24"/>
        </w:rPr>
        <w:t>对系统集成结果进行验收监理。</w:t>
      </w:r>
    </w:p>
    <w:p>
      <w:pPr>
        <w:pStyle w:val="13"/>
        <w:numPr>
          <w:ilvl w:val="0"/>
          <w:numId w:val="30"/>
        </w:numPr>
        <w:spacing w:line="460" w:lineRule="exact"/>
        <w:rPr>
          <w:rFonts w:ascii="宋体" w:hAnsi="宋体"/>
          <w:color w:val="000000"/>
          <w:sz w:val="24"/>
        </w:rPr>
      </w:pPr>
      <w:r>
        <w:rPr>
          <w:rFonts w:hint="eastAsia" w:ascii="宋体" w:hAnsi="宋体"/>
          <w:color w:val="000000"/>
          <w:sz w:val="24"/>
        </w:rPr>
        <w:t>系统集成方案的审核和确认；</w:t>
      </w:r>
    </w:p>
    <w:p>
      <w:pPr>
        <w:pStyle w:val="13"/>
        <w:numPr>
          <w:ilvl w:val="0"/>
          <w:numId w:val="30"/>
        </w:numPr>
        <w:spacing w:line="460" w:lineRule="exact"/>
        <w:rPr>
          <w:rFonts w:ascii="宋体" w:hAnsi="宋体"/>
          <w:color w:val="000000"/>
          <w:sz w:val="24"/>
        </w:rPr>
      </w:pPr>
      <w:r>
        <w:rPr>
          <w:rFonts w:hint="eastAsia" w:ascii="宋体" w:hAnsi="宋体"/>
          <w:color w:val="000000"/>
          <w:sz w:val="24"/>
        </w:rPr>
        <w:t>审核关键设备、系统软件选型方案，协助系统集成商和建设单位进行选型；</w:t>
      </w:r>
    </w:p>
    <w:p>
      <w:pPr>
        <w:pStyle w:val="13"/>
        <w:numPr>
          <w:ilvl w:val="0"/>
          <w:numId w:val="30"/>
        </w:numPr>
        <w:spacing w:line="460" w:lineRule="exact"/>
        <w:rPr>
          <w:rFonts w:ascii="宋体" w:hAnsi="宋体"/>
          <w:color w:val="000000"/>
          <w:sz w:val="24"/>
        </w:rPr>
      </w:pPr>
      <w:r>
        <w:rPr>
          <w:rFonts w:hint="eastAsia" w:ascii="宋体" w:hAnsi="宋体"/>
          <w:color w:val="000000"/>
          <w:sz w:val="24"/>
        </w:rPr>
        <w:t>对采购的硬件设备的质量进行检验、测试和验收；</w:t>
      </w:r>
    </w:p>
    <w:p>
      <w:pPr>
        <w:pStyle w:val="13"/>
        <w:numPr>
          <w:ilvl w:val="0"/>
          <w:numId w:val="30"/>
        </w:numPr>
        <w:spacing w:line="460" w:lineRule="exact"/>
        <w:rPr>
          <w:rFonts w:ascii="宋体" w:hAnsi="宋体"/>
          <w:color w:val="000000"/>
          <w:sz w:val="24"/>
        </w:rPr>
      </w:pPr>
      <w:r>
        <w:rPr>
          <w:rFonts w:hint="eastAsia" w:ascii="宋体" w:hAnsi="宋体"/>
          <w:color w:val="000000"/>
          <w:sz w:val="24"/>
        </w:rPr>
        <w:t>对设备安装、系统软件的安装调试进行验收；</w:t>
      </w:r>
    </w:p>
    <w:p>
      <w:pPr>
        <w:pStyle w:val="13"/>
        <w:numPr>
          <w:ilvl w:val="0"/>
          <w:numId w:val="30"/>
        </w:numPr>
        <w:spacing w:line="460" w:lineRule="exact"/>
        <w:rPr>
          <w:rFonts w:ascii="宋体" w:hAnsi="宋体"/>
          <w:color w:val="000000"/>
          <w:sz w:val="24"/>
        </w:rPr>
      </w:pPr>
      <w:r>
        <w:rPr>
          <w:rFonts w:hint="eastAsia" w:ascii="宋体" w:hAnsi="宋体"/>
          <w:color w:val="000000"/>
          <w:sz w:val="24"/>
        </w:rPr>
        <w:t>对系统集成进行总体验收。</w:t>
      </w:r>
      <w:bookmarkStart w:id="49" w:name="_Toc433896451"/>
    </w:p>
    <w:p>
      <w:pPr>
        <w:pStyle w:val="13"/>
        <w:spacing w:line="460" w:lineRule="exact"/>
        <w:ind w:left="480"/>
        <w:rPr>
          <w:rFonts w:ascii="宋体" w:hAnsi="宋体"/>
          <w:color w:val="000000"/>
          <w:sz w:val="24"/>
        </w:rPr>
      </w:pPr>
      <w:r>
        <w:rPr>
          <w:rFonts w:hint="eastAsia" w:ascii="宋体" w:hAnsi="宋体"/>
          <w:color w:val="000000"/>
          <w:sz w:val="24"/>
        </w:rPr>
        <w:t>2.软件开发监理</w:t>
      </w:r>
      <w:bookmarkEnd w:id="49"/>
    </w:p>
    <w:p>
      <w:pPr>
        <w:pStyle w:val="13"/>
        <w:spacing w:line="460" w:lineRule="exact"/>
        <w:ind w:firstLine="480" w:firstLineChars="200"/>
        <w:rPr>
          <w:rFonts w:ascii="宋体" w:hAnsi="宋体"/>
          <w:color w:val="000000"/>
          <w:sz w:val="24"/>
        </w:rPr>
      </w:pPr>
      <w:r>
        <w:rPr>
          <w:rFonts w:hint="eastAsia" w:ascii="宋体" w:hAnsi="宋体"/>
          <w:color w:val="000000"/>
          <w:sz w:val="24"/>
        </w:rPr>
        <w:t>要求监理方对整个大数据共享与管理平台体系软件开发的全过程提供以下的监理服务。</w:t>
      </w:r>
    </w:p>
    <w:p>
      <w:pPr>
        <w:pStyle w:val="13"/>
        <w:numPr>
          <w:ilvl w:val="0"/>
          <w:numId w:val="31"/>
        </w:numPr>
        <w:spacing w:line="460" w:lineRule="exact"/>
        <w:rPr>
          <w:rFonts w:ascii="宋体" w:hAnsi="宋体"/>
          <w:color w:val="000000"/>
          <w:sz w:val="24"/>
        </w:rPr>
      </w:pPr>
      <w:r>
        <w:rPr>
          <w:rFonts w:hint="eastAsia" w:ascii="宋体" w:hAnsi="宋体"/>
          <w:color w:val="000000"/>
          <w:sz w:val="24"/>
        </w:rPr>
        <w:t>审核项目开发方案中的主要功能是否符合用户需求，软件系统架构能否优化；</w:t>
      </w:r>
    </w:p>
    <w:p>
      <w:pPr>
        <w:pStyle w:val="13"/>
        <w:numPr>
          <w:ilvl w:val="0"/>
          <w:numId w:val="31"/>
        </w:numPr>
        <w:spacing w:line="460" w:lineRule="exact"/>
        <w:rPr>
          <w:rFonts w:ascii="宋体" w:hAnsi="宋体"/>
          <w:color w:val="000000"/>
          <w:sz w:val="24"/>
        </w:rPr>
      </w:pPr>
      <w:r>
        <w:rPr>
          <w:rFonts w:hint="eastAsia" w:ascii="宋体" w:hAnsi="宋体"/>
          <w:color w:val="000000"/>
          <w:sz w:val="24"/>
        </w:rPr>
        <w:t>协助建设单位组织审核实施方案技术上是否可行，是否与项目建设合同相符，是否符合相关的法律、法规和标准；</w:t>
      </w:r>
    </w:p>
    <w:p>
      <w:pPr>
        <w:pStyle w:val="13"/>
        <w:numPr>
          <w:ilvl w:val="0"/>
          <w:numId w:val="31"/>
        </w:numPr>
        <w:spacing w:line="460" w:lineRule="exact"/>
        <w:rPr>
          <w:rFonts w:ascii="宋体" w:hAnsi="宋体"/>
          <w:color w:val="000000"/>
          <w:sz w:val="24"/>
        </w:rPr>
      </w:pPr>
      <w:r>
        <w:rPr>
          <w:rFonts w:hint="eastAsia" w:ascii="宋体" w:hAnsi="宋体"/>
          <w:color w:val="000000"/>
          <w:sz w:val="24"/>
        </w:rPr>
        <w:t>对软件开发包括需求调研与分析、系统设计、开发实现、系统部署、测试、试运行、验收和质保期等阶段进行监督管理。</w:t>
      </w:r>
    </w:p>
    <w:p>
      <w:pPr>
        <w:pStyle w:val="13"/>
        <w:numPr>
          <w:ilvl w:val="0"/>
          <w:numId w:val="31"/>
        </w:numPr>
        <w:spacing w:line="460" w:lineRule="exact"/>
        <w:rPr>
          <w:rFonts w:ascii="宋体" w:hAnsi="宋体"/>
          <w:color w:val="000000"/>
          <w:sz w:val="24"/>
        </w:rPr>
      </w:pPr>
      <w:r>
        <w:rPr>
          <w:rFonts w:hint="eastAsia" w:ascii="宋体" w:hAnsi="宋体"/>
          <w:color w:val="000000"/>
          <w:sz w:val="24"/>
        </w:rPr>
        <w:t>对项目实施计划、实施方案、软件需求说明书及系统设计方案提供咨询设计和审核意见、对各项目实施进度和质量控制提出可行方案。</w:t>
      </w:r>
    </w:p>
    <w:p>
      <w:pPr>
        <w:pStyle w:val="13"/>
        <w:numPr>
          <w:ilvl w:val="0"/>
          <w:numId w:val="31"/>
        </w:numPr>
        <w:spacing w:line="460" w:lineRule="exact"/>
        <w:rPr>
          <w:rFonts w:ascii="宋体" w:hAnsi="宋体"/>
          <w:color w:val="000000"/>
          <w:sz w:val="24"/>
        </w:rPr>
      </w:pPr>
      <w:r>
        <w:rPr>
          <w:rFonts w:hint="eastAsia" w:ascii="宋体" w:hAnsi="宋体"/>
          <w:color w:val="000000"/>
          <w:sz w:val="24"/>
        </w:rPr>
        <w:t>对承建单位内部测试方案、测试工作的督促检查;测试用例的编写及检查;并组织三方共同进行功能测试及性能测试。</w:t>
      </w:r>
    </w:p>
    <w:p>
      <w:pPr>
        <w:pStyle w:val="13"/>
        <w:numPr>
          <w:ilvl w:val="0"/>
          <w:numId w:val="31"/>
        </w:numPr>
        <w:spacing w:line="460" w:lineRule="exact"/>
        <w:rPr>
          <w:rFonts w:ascii="宋体" w:hAnsi="宋体"/>
          <w:color w:val="000000"/>
          <w:sz w:val="24"/>
        </w:rPr>
      </w:pPr>
      <w:r>
        <w:rPr>
          <w:rFonts w:hint="eastAsia" w:ascii="宋体" w:hAnsi="宋体"/>
          <w:color w:val="000000"/>
          <w:sz w:val="24"/>
        </w:rPr>
        <w:t>审核系统整合方案，提出技术改进意见等。</w:t>
      </w:r>
      <w:bookmarkStart w:id="50" w:name="_Toc433896452"/>
    </w:p>
    <w:p>
      <w:pPr>
        <w:pStyle w:val="13"/>
        <w:spacing w:line="460" w:lineRule="exact"/>
        <w:ind w:left="480"/>
        <w:rPr>
          <w:rFonts w:ascii="宋体" w:hAnsi="宋体"/>
          <w:color w:val="000000"/>
          <w:sz w:val="24"/>
        </w:rPr>
      </w:pPr>
      <w:r>
        <w:rPr>
          <w:rFonts w:hint="eastAsia" w:ascii="宋体" w:hAnsi="宋体"/>
          <w:color w:val="000000"/>
          <w:sz w:val="24"/>
        </w:rPr>
        <w:t>3.技术培训监理</w:t>
      </w:r>
      <w:bookmarkEnd w:id="50"/>
    </w:p>
    <w:p>
      <w:pPr>
        <w:pStyle w:val="13"/>
        <w:spacing w:line="460" w:lineRule="exact"/>
        <w:ind w:firstLine="480" w:firstLineChars="200"/>
        <w:rPr>
          <w:rFonts w:ascii="宋体" w:hAnsi="宋体"/>
          <w:color w:val="000000"/>
          <w:sz w:val="24"/>
        </w:rPr>
      </w:pPr>
      <w:r>
        <w:rPr>
          <w:rFonts w:hint="eastAsia" w:ascii="宋体" w:hAnsi="宋体"/>
          <w:color w:val="000000"/>
          <w:sz w:val="24"/>
        </w:rPr>
        <w:t>工程项目投入使用前，监理方将协助建设单位督促承建单位完成向本项目涉及的使用人员提供相应的操作培训，确保系统正确使用，监理方提供的监理服务和要求如下：</w:t>
      </w:r>
    </w:p>
    <w:p>
      <w:pPr>
        <w:pStyle w:val="13"/>
        <w:numPr>
          <w:ilvl w:val="0"/>
          <w:numId w:val="32"/>
        </w:numPr>
        <w:spacing w:line="460" w:lineRule="exact"/>
        <w:rPr>
          <w:rFonts w:ascii="宋体" w:hAnsi="宋体"/>
          <w:color w:val="000000"/>
          <w:sz w:val="24"/>
        </w:rPr>
      </w:pPr>
      <w:r>
        <w:rPr>
          <w:rFonts w:hint="eastAsia" w:ascii="宋体" w:hAnsi="宋体"/>
          <w:color w:val="000000"/>
          <w:sz w:val="24"/>
        </w:rPr>
        <w:t>督促承建单位确定培训的类型、水平以及需要培训人员的类别。制订实施进度安排、资源需求和培训需求的培训计划，并形成文档、提交建设单位。</w:t>
      </w:r>
    </w:p>
    <w:p>
      <w:pPr>
        <w:pStyle w:val="13"/>
        <w:numPr>
          <w:ilvl w:val="0"/>
          <w:numId w:val="32"/>
        </w:numPr>
        <w:spacing w:line="460" w:lineRule="exact"/>
        <w:rPr>
          <w:rFonts w:ascii="宋体" w:hAnsi="宋体"/>
          <w:color w:val="000000"/>
          <w:sz w:val="24"/>
        </w:rPr>
      </w:pPr>
      <w:r>
        <w:rPr>
          <w:rFonts w:hint="eastAsia" w:ascii="宋体" w:hAnsi="宋体"/>
          <w:color w:val="000000"/>
          <w:sz w:val="24"/>
        </w:rPr>
        <w:t>监督承建单位按照计划的要求开展培训阶段的活动。</w:t>
      </w:r>
    </w:p>
    <w:p>
      <w:pPr>
        <w:pStyle w:val="13"/>
        <w:numPr>
          <w:ilvl w:val="0"/>
          <w:numId w:val="32"/>
        </w:numPr>
        <w:spacing w:line="460" w:lineRule="exact"/>
        <w:rPr>
          <w:rFonts w:ascii="宋体" w:hAnsi="宋体"/>
          <w:color w:val="000000"/>
          <w:sz w:val="24"/>
        </w:rPr>
      </w:pPr>
      <w:r>
        <w:rPr>
          <w:rFonts w:hint="eastAsia" w:ascii="宋体" w:hAnsi="宋体"/>
          <w:color w:val="000000"/>
          <w:sz w:val="24"/>
        </w:rPr>
        <w:t>对培训进行记录并保存，并将有关文档提交建设单位。</w:t>
      </w:r>
    </w:p>
    <w:p>
      <w:pPr>
        <w:pStyle w:val="13"/>
        <w:numPr>
          <w:ilvl w:val="0"/>
          <w:numId w:val="32"/>
        </w:numPr>
        <w:spacing w:line="460" w:lineRule="exact"/>
        <w:rPr>
          <w:rFonts w:ascii="宋体" w:hAnsi="宋体"/>
          <w:color w:val="000000"/>
          <w:sz w:val="24"/>
        </w:rPr>
      </w:pPr>
      <w:r>
        <w:rPr>
          <w:rFonts w:hint="eastAsia" w:ascii="宋体" w:hAnsi="宋体"/>
          <w:color w:val="000000"/>
          <w:sz w:val="24"/>
        </w:rPr>
        <w:t>评价培训效果,形成监理意见，并提交建设单位。</w:t>
      </w:r>
    </w:p>
    <w:p>
      <w:pPr>
        <w:pStyle w:val="13"/>
        <w:numPr>
          <w:ilvl w:val="0"/>
          <w:numId w:val="32"/>
        </w:numPr>
        <w:spacing w:line="460" w:lineRule="exact"/>
        <w:rPr>
          <w:rFonts w:ascii="宋体" w:hAnsi="宋体"/>
          <w:color w:val="000000"/>
          <w:sz w:val="24"/>
        </w:rPr>
      </w:pPr>
      <w:r>
        <w:rPr>
          <w:rFonts w:hint="eastAsia" w:ascii="宋体" w:hAnsi="宋体"/>
          <w:color w:val="000000"/>
          <w:sz w:val="24"/>
        </w:rPr>
        <w:t>收集整理培训中提出的用户需求变更以及培训变更等事宜。</w:t>
      </w:r>
      <w:bookmarkStart w:id="51" w:name="_Toc433896453"/>
    </w:p>
    <w:p>
      <w:pPr>
        <w:pStyle w:val="13"/>
        <w:spacing w:line="460" w:lineRule="exact"/>
        <w:ind w:left="480"/>
        <w:rPr>
          <w:rFonts w:ascii="宋体" w:hAnsi="宋体"/>
          <w:color w:val="000000"/>
          <w:sz w:val="24"/>
        </w:rPr>
      </w:pPr>
      <w:r>
        <w:rPr>
          <w:rFonts w:hint="eastAsia" w:ascii="宋体" w:hAnsi="宋体"/>
          <w:color w:val="000000"/>
          <w:sz w:val="24"/>
        </w:rPr>
        <w:t>4.其它相关的监理内容</w:t>
      </w:r>
      <w:bookmarkEnd w:id="51"/>
    </w:p>
    <w:p>
      <w:pPr>
        <w:pStyle w:val="13"/>
        <w:numPr>
          <w:ilvl w:val="0"/>
          <w:numId w:val="33"/>
        </w:numPr>
        <w:spacing w:line="460" w:lineRule="exact"/>
        <w:rPr>
          <w:rFonts w:ascii="宋体" w:hAnsi="宋体"/>
          <w:color w:val="000000"/>
          <w:sz w:val="24"/>
        </w:rPr>
      </w:pPr>
      <w:r>
        <w:rPr>
          <w:rFonts w:hint="eastAsia" w:ascii="宋体" w:hAnsi="宋体"/>
          <w:color w:val="000000"/>
          <w:sz w:val="24"/>
        </w:rPr>
        <w:t>进行工程实施过程监理，执行阶段性质量控制措施，并做监理日志；</w:t>
      </w:r>
    </w:p>
    <w:p>
      <w:pPr>
        <w:pStyle w:val="13"/>
        <w:numPr>
          <w:ilvl w:val="0"/>
          <w:numId w:val="33"/>
        </w:numPr>
        <w:spacing w:line="460" w:lineRule="exact"/>
        <w:rPr>
          <w:rFonts w:ascii="宋体" w:hAnsi="宋体"/>
          <w:color w:val="000000"/>
          <w:sz w:val="24"/>
        </w:rPr>
      </w:pPr>
      <w:r>
        <w:rPr>
          <w:rFonts w:hint="eastAsia" w:ascii="宋体" w:hAnsi="宋体"/>
          <w:color w:val="000000"/>
          <w:sz w:val="24"/>
        </w:rPr>
        <w:t>发起召开项目实施会议，编写会议纪要，并发送相关各方签收确认；</w:t>
      </w:r>
    </w:p>
    <w:p>
      <w:pPr>
        <w:pStyle w:val="13"/>
        <w:numPr>
          <w:ilvl w:val="0"/>
          <w:numId w:val="33"/>
        </w:numPr>
        <w:spacing w:line="460" w:lineRule="exact"/>
        <w:rPr>
          <w:rFonts w:ascii="宋体" w:hAnsi="宋体"/>
          <w:color w:val="000000"/>
          <w:sz w:val="24"/>
        </w:rPr>
      </w:pPr>
      <w:r>
        <w:rPr>
          <w:rFonts w:hint="eastAsia" w:ascii="宋体" w:hAnsi="宋体"/>
          <w:color w:val="000000"/>
          <w:sz w:val="24"/>
        </w:rPr>
        <w:t>及时处理承建单位提交的工程关键环节实施申请；</w:t>
      </w:r>
    </w:p>
    <w:p>
      <w:pPr>
        <w:pStyle w:val="13"/>
        <w:numPr>
          <w:ilvl w:val="0"/>
          <w:numId w:val="33"/>
        </w:numPr>
        <w:spacing w:line="460" w:lineRule="exact"/>
        <w:rPr>
          <w:rFonts w:ascii="宋体" w:hAnsi="宋体"/>
          <w:color w:val="000000"/>
          <w:sz w:val="24"/>
        </w:rPr>
      </w:pPr>
      <w:r>
        <w:rPr>
          <w:rFonts w:hint="eastAsia" w:ascii="宋体" w:hAnsi="宋体"/>
          <w:color w:val="000000"/>
          <w:sz w:val="24"/>
        </w:rPr>
        <w:t>审核承建单位提交的工程阶段性报告；</w:t>
      </w:r>
    </w:p>
    <w:p>
      <w:pPr>
        <w:pStyle w:val="13"/>
        <w:numPr>
          <w:ilvl w:val="0"/>
          <w:numId w:val="33"/>
        </w:numPr>
        <w:spacing w:line="460" w:lineRule="exact"/>
        <w:rPr>
          <w:rFonts w:ascii="宋体" w:hAnsi="宋体"/>
          <w:color w:val="000000"/>
          <w:sz w:val="24"/>
        </w:rPr>
      </w:pPr>
      <w:r>
        <w:rPr>
          <w:rFonts w:hint="eastAsia" w:ascii="宋体" w:hAnsi="宋体"/>
          <w:color w:val="000000"/>
          <w:sz w:val="24"/>
        </w:rPr>
        <w:t>处理工程变更申请，促使工程变更合理、受控；</w:t>
      </w:r>
    </w:p>
    <w:p>
      <w:pPr>
        <w:pStyle w:val="13"/>
        <w:numPr>
          <w:ilvl w:val="0"/>
          <w:numId w:val="33"/>
        </w:numPr>
        <w:spacing w:line="460" w:lineRule="exact"/>
        <w:rPr>
          <w:rFonts w:ascii="宋体" w:hAnsi="宋体"/>
          <w:color w:val="000000"/>
          <w:sz w:val="24"/>
        </w:rPr>
      </w:pPr>
      <w:r>
        <w:rPr>
          <w:rFonts w:hint="eastAsia" w:ascii="宋体" w:hAnsi="宋体"/>
          <w:color w:val="000000"/>
          <w:sz w:val="24"/>
        </w:rPr>
        <w:t>组织对承建单位提供的主要设备、产品及服务进行验收，对验收结果做验收记录；</w:t>
      </w:r>
    </w:p>
    <w:p>
      <w:pPr>
        <w:pStyle w:val="13"/>
        <w:numPr>
          <w:ilvl w:val="0"/>
          <w:numId w:val="33"/>
        </w:numPr>
        <w:spacing w:line="460" w:lineRule="exact"/>
        <w:rPr>
          <w:rFonts w:ascii="宋体" w:hAnsi="宋体"/>
          <w:color w:val="000000"/>
          <w:sz w:val="24"/>
        </w:rPr>
      </w:pPr>
      <w:r>
        <w:rPr>
          <w:rFonts w:hint="eastAsia" w:ascii="宋体" w:hAnsi="宋体"/>
          <w:color w:val="000000"/>
          <w:sz w:val="24"/>
        </w:rPr>
        <w:t>对项目进度进行把控，促使项目在合同工期内完工；</w:t>
      </w:r>
    </w:p>
    <w:p>
      <w:pPr>
        <w:pStyle w:val="13"/>
        <w:numPr>
          <w:ilvl w:val="0"/>
          <w:numId w:val="33"/>
        </w:numPr>
        <w:spacing w:line="460" w:lineRule="exact"/>
        <w:rPr>
          <w:rFonts w:ascii="宋体" w:hAnsi="宋体"/>
          <w:color w:val="000000"/>
          <w:sz w:val="24"/>
        </w:rPr>
      </w:pPr>
      <w:r>
        <w:rPr>
          <w:rFonts w:hint="eastAsia" w:ascii="宋体" w:hAnsi="宋体"/>
          <w:color w:val="000000"/>
          <w:sz w:val="24"/>
        </w:rPr>
        <w:t>对项目资金使用情况进行监控，严格把控项目变更成本；</w:t>
      </w:r>
    </w:p>
    <w:p>
      <w:pPr>
        <w:pStyle w:val="13"/>
        <w:numPr>
          <w:ilvl w:val="0"/>
          <w:numId w:val="33"/>
        </w:numPr>
        <w:spacing w:line="460" w:lineRule="exact"/>
        <w:rPr>
          <w:rFonts w:ascii="宋体" w:hAnsi="宋体"/>
          <w:color w:val="000000"/>
          <w:sz w:val="24"/>
        </w:rPr>
      </w:pPr>
      <w:r>
        <w:rPr>
          <w:rFonts w:hint="eastAsia" w:ascii="宋体" w:hAnsi="宋体"/>
          <w:color w:val="000000"/>
          <w:sz w:val="24"/>
        </w:rPr>
        <w:t>按照既定程序处理工程中出现的质量事故；</w:t>
      </w:r>
    </w:p>
    <w:p>
      <w:pPr>
        <w:pStyle w:val="13"/>
        <w:numPr>
          <w:ilvl w:val="0"/>
          <w:numId w:val="33"/>
        </w:numPr>
        <w:spacing w:line="460" w:lineRule="exact"/>
        <w:rPr>
          <w:rFonts w:ascii="宋体" w:hAnsi="宋体"/>
          <w:color w:val="000000"/>
          <w:sz w:val="24"/>
        </w:rPr>
      </w:pPr>
      <w:r>
        <w:rPr>
          <w:rFonts w:hint="eastAsia" w:ascii="宋体" w:hAnsi="宋体"/>
          <w:color w:val="000000"/>
          <w:sz w:val="24"/>
        </w:rPr>
        <w:t>建立项目沟通和协调机制，积极促进各方协作，推动项目的实施进展；</w:t>
      </w:r>
    </w:p>
    <w:p>
      <w:pPr>
        <w:pStyle w:val="13"/>
        <w:numPr>
          <w:ilvl w:val="0"/>
          <w:numId w:val="33"/>
        </w:numPr>
        <w:spacing w:line="460" w:lineRule="exact"/>
        <w:rPr>
          <w:rFonts w:ascii="宋体" w:hAnsi="宋体"/>
          <w:color w:val="000000"/>
          <w:sz w:val="24"/>
        </w:rPr>
      </w:pPr>
      <w:r>
        <w:rPr>
          <w:rFonts w:hint="eastAsia" w:ascii="宋体" w:hAnsi="宋体"/>
          <w:color w:val="000000"/>
          <w:sz w:val="24"/>
        </w:rPr>
        <w:t>做好项目过程的合同管理工作；</w:t>
      </w:r>
    </w:p>
    <w:p>
      <w:pPr>
        <w:pStyle w:val="13"/>
        <w:numPr>
          <w:ilvl w:val="0"/>
          <w:numId w:val="33"/>
        </w:numPr>
        <w:spacing w:line="460" w:lineRule="exact"/>
        <w:rPr>
          <w:rFonts w:ascii="宋体" w:hAnsi="宋体"/>
          <w:color w:val="000000"/>
          <w:sz w:val="24"/>
        </w:rPr>
      </w:pPr>
      <w:r>
        <w:rPr>
          <w:rFonts w:hint="eastAsia" w:ascii="宋体" w:hAnsi="宋体"/>
          <w:color w:val="000000"/>
          <w:sz w:val="24"/>
        </w:rPr>
        <w:t>做好项目过程的信息管理和协调工作。</w:t>
      </w:r>
    </w:p>
    <w:p>
      <w:pPr>
        <w:pStyle w:val="12"/>
        <w:rPr>
          <w:rFonts w:hAnsi="宋体"/>
          <w:sz w:val="24"/>
        </w:rPr>
      </w:pPr>
      <w:r>
        <w:rPr>
          <w:rFonts w:hint="eastAsia" w:hAnsi="宋体"/>
          <w:sz w:val="24"/>
        </w:rPr>
        <w:t>（三）各阶段监理工作要求</w:t>
      </w:r>
      <w:bookmarkStart w:id="52" w:name="_Toc433896455"/>
    </w:p>
    <w:p>
      <w:pPr>
        <w:pStyle w:val="13"/>
        <w:spacing w:line="460" w:lineRule="exact"/>
        <w:ind w:firstLine="480" w:firstLineChars="200"/>
        <w:rPr>
          <w:rFonts w:ascii="宋体" w:hAnsi="宋体"/>
          <w:color w:val="000000"/>
          <w:sz w:val="24"/>
        </w:rPr>
      </w:pPr>
      <w:r>
        <w:rPr>
          <w:rFonts w:hint="eastAsia" w:ascii="宋体" w:hAnsi="宋体"/>
          <w:color w:val="000000"/>
          <w:sz w:val="24"/>
        </w:rPr>
        <w:t>1.需求分析阶段的监理</w:t>
      </w:r>
      <w:bookmarkEnd w:id="52"/>
    </w:p>
    <w:p>
      <w:pPr>
        <w:pStyle w:val="13"/>
        <w:spacing w:line="460" w:lineRule="exact"/>
        <w:ind w:firstLine="480" w:firstLineChars="200"/>
        <w:rPr>
          <w:rFonts w:ascii="宋体" w:hAnsi="宋体"/>
          <w:color w:val="000000"/>
          <w:sz w:val="24"/>
        </w:rPr>
      </w:pPr>
      <w:r>
        <w:rPr>
          <w:rFonts w:hint="eastAsia" w:ascii="宋体" w:hAnsi="宋体"/>
          <w:color w:val="000000"/>
          <w:sz w:val="24"/>
        </w:rPr>
        <w:t>需求分析阶段监理工作的总体要求为：</w:t>
      </w:r>
    </w:p>
    <w:p>
      <w:pPr>
        <w:pStyle w:val="13"/>
        <w:numPr>
          <w:ilvl w:val="0"/>
          <w:numId w:val="34"/>
        </w:numPr>
        <w:spacing w:line="460" w:lineRule="exact"/>
        <w:rPr>
          <w:rFonts w:ascii="宋体" w:hAnsi="宋体"/>
          <w:color w:val="000000"/>
          <w:sz w:val="24"/>
        </w:rPr>
      </w:pPr>
      <w:r>
        <w:rPr>
          <w:rFonts w:hint="eastAsia" w:ascii="宋体" w:hAnsi="宋体"/>
          <w:color w:val="000000"/>
          <w:sz w:val="24"/>
        </w:rPr>
        <w:t>督促承建单位实施制定详细的需求调研、需求分析计划并提交建设单位。</w:t>
      </w:r>
    </w:p>
    <w:p>
      <w:pPr>
        <w:pStyle w:val="13"/>
        <w:numPr>
          <w:ilvl w:val="0"/>
          <w:numId w:val="34"/>
        </w:numPr>
        <w:spacing w:line="460" w:lineRule="exact"/>
        <w:rPr>
          <w:rFonts w:ascii="宋体" w:hAnsi="宋体"/>
          <w:color w:val="000000"/>
          <w:sz w:val="24"/>
        </w:rPr>
      </w:pPr>
      <w:r>
        <w:rPr>
          <w:rFonts w:hint="eastAsia" w:ascii="宋体" w:hAnsi="宋体"/>
          <w:color w:val="000000"/>
          <w:sz w:val="24"/>
        </w:rPr>
        <w:t>监督承建单位按照计划开展系统需求分析活动。</w:t>
      </w:r>
    </w:p>
    <w:p>
      <w:pPr>
        <w:pStyle w:val="13"/>
        <w:numPr>
          <w:ilvl w:val="0"/>
          <w:numId w:val="34"/>
        </w:numPr>
        <w:spacing w:line="460" w:lineRule="exact"/>
        <w:rPr>
          <w:rFonts w:ascii="宋体" w:hAnsi="宋体"/>
          <w:color w:val="000000"/>
          <w:sz w:val="24"/>
        </w:rPr>
      </w:pPr>
      <w:r>
        <w:rPr>
          <w:rFonts w:hint="eastAsia" w:ascii="宋体" w:hAnsi="宋体"/>
          <w:color w:val="000000"/>
          <w:sz w:val="24"/>
        </w:rPr>
        <w:t>协助建设单位及承建单位定义并分析系统建设目标，包括定义并分析业务流程再造、业务持续改进、信息资源规划及业务指标评价体系。</w:t>
      </w:r>
    </w:p>
    <w:p>
      <w:pPr>
        <w:pStyle w:val="13"/>
        <w:numPr>
          <w:ilvl w:val="0"/>
          <w:numId w:val="34"/>
        </w:numPr>
        <w:spacing w:line="460" w:lineRule="exact"/>
        <w:rPr>
          <w:rFonts w:ascii="宋体" w:hAnsi="宋体"/>
          <w:color w:val="000000"/>
          <w:sz w:val="24"/>
        </w:rPr>
      </w:pPr>
      <w:r>
        <w:rPr>
          <w:rFonts w:hint="eastAsia" w:ascii="宋体" w:hAnsi="宋体"/>
          <w:color w:val="000000"/>
          <w:sz w:val="24"/>
        </w:rPr>
        <w:t>对系统需求规格说明书编制及其变更的监理参照文档管理监理和配置管理监理过程。</w:t>
      </w:r>
    </w:p>
    <w:p>
      <w:pPr>
        <w:pStyle w:val="13"/>
        <w:numPr>
          <w:ilvl w:val="0"/>
          <w:numId w:val="34"/>
        </w:numPr>
        <w:spacing w:line="460" w:lineRule="exact"/>
        <w:rPr>
          <w:rFonts w:ascii="宋体" w:hAnsi="宋体"/>
          <w:color w:val="000000"/>
          <w:sz w:val="24"/>
        </w:rPr>
      </w:pPr>
      <w:r>
        <w:rPr>
          <w:rFonts w:hint="eastAsia" w:ascii="宋体" w:hAnsi="宋体"/>
          <w:color w:val="000000"/>
          <w:sz w:val="24"/>
        </w:rPr>
        <w:t>协助建设单位通过评审、确认、联合评审等方式评价系统需求。</w:t>
      </w:r>
    </w:p>
    <w:p>
      <w:pPr>
        <w:pStyle w:val="13"/>
        <w:numPr>
          <w:ilvl w:val="0"/>
          <w:numId w:val="34"/>
        </w:numPr>
        <w:spacing w:line="460" w:lineRule="exact"/>
        <w:rPr>
          <w:rFonts w:ascii="宋体" w:hAnsi="宋体"/>
          <w:color w:val="000000"/>
          <w:sz w:val="24"/>
        </w:rPr>
      </w:pPr>
      <w:r>
        <w:rPr>
          <w:rFonts w:hint="eastAsia" w:ascii="宋体" w:hAnsi="宋体"/>
          <w:color w:val="000000"/>
          <w:sz w:val="24"/>
        </w:rPr>
        <w:t>监督承建单位解决系统需求分析中发现的问题和不合格项，并形成监理意见、提交建设单位。</w:t>
      </w:r>
      <w:bookmarkStart w:id="53" w:name="_Toc433896456"/>
    </w:p>
    <w:p>
      <w:pPr>
        <w:pStyle w:val="13"/>
        <w:spacing w:line="460" w:lineRule="exact"/>
        <w:ind w:left="480"/>
        <w:rPr>
          <w:rFonts w:ascii="宋体" w:hAnsi="宋体"/>
          <w:color w:val="000000"/>
          <w:sz w:val="24"/>
        </w:rPr>
      </w:pPr>
      <w:r>
        <w:rPr>
          <w:rFonts w:hint="eastAsia" w:hAnsi="宋体"/>
          <w:color w:val="000000"/>
          <w:sz w:val="24"/>
        </w:rPr>
        <w:t>2．设计阶段的监理</w:t>
      </w:r>
      <w:bookmarkEnd w:id="53"/>
    </w:p>
    <w:p>
      <w:pPr>
        <w:pStyle w:val="13"/>
        <w:spacing w:line="460" w:lineRule="exact"/>
        <w:ind w:firstLine="480" w:firstLineChars="200"/>
        <w:rPr>
          <w:rFonts w:ascii="宋体" w:hAnsi="宋体"/>
          <w:color w:val="000000"/>
          <w:sz w:val="24"/>
        </w:rPr>
      </w:pPr>
      <w:r>
        <w:rPr>
          <w:rFonts w:hint="eastAsia" w:ascii="宋体" w:hAnsi="宋体"/>
          <w:color w:val="000000"/>
          <w:sz w:val="24"/>
        </w:rPr>
        <w:t>监理方应监督承建单位使用合理、先进的方法和工具去实施一系列软件设计工程任务，以便建立和维护软件的设计阶段产品。</w:t>
      </w:r>
    </w:p>
    <w:p>
      <w:pPr>
        <w:pStyle w:val="13"/>
        <w:numPr>
          <w:ilvl w:val="0"/>
          <w:numId w:val="35"/>
        </w:numPr>
        <w:spacing w:line="460" w:lineRule="exact"/>
        <w:rPr>
          <w:rFonts w:ascii="宋体" w:hAnsi="宋体"/>
          <w:color w:val="000000"/>
          <w:sz w:val="24"/>
        </w:rPr>
      </w:pPr>
      <w:r>
        <w:rPr>
          <w:rFonts w:hint="eastAsia" w:ascii="宋体" w:hAnsi="宋体"/>
          <w:color w:val="000000"/>
          <w:sz w:val="24"/>
        </w:rPr>
        <w:t>协助建设单位审查承建单位的项目计划，确保项目计划的合理性、可行性，并满足服务合同要求。</w:t>
      </w:r>
    </w:p>
    <w:p>
      <w:pPr>
        <w:pStyle w:val="13"/>
        <w:numPr>
          <w:ilvl w:val="0"/>
          <w:numId w:val="35"/>
        </w:numPr>
        <w:spacing w:line="460" w:lineRule="exact"/>
        <w:rPr>
          <w:rFonts w:ascii="宋体" w:hAnsi="宋体"/>
          <w:color w:val="000000"/>
          <w:sz w:val="24"/>
        </w:rPr>
      </w:pPr>
      <w:r>
        <w:rPr>
          <w:rFonts w:hint="eastAsia" w:ascii="宋体" w:hAnsi="宋体"/>
          <w:color w:val="000000"/>
          <w:sz w:val="24"/>
        </w:rPr>
        <w:t>协助建设单位评审承建单位的项目的总体设计方案、概要设计、详细设计、数据库设计等主要设计文档，促使总体设计方案满足项目的系统需求和有关的法规、标准，并符合服务合同要求，确保需求合理、有效、完整、准确。</w:t>
      </w:r>
    </w:p>
    <w:p>
      <w:pPr>
        <w:pStyle w:val="13"/>
        <w:numPr>
          <w:ilvl w:val="0"/>
          <w:numId w:val="35"/>
        </w:numPr>
        <w:spacing w:line="460" w:lineRule="exact"/>
        <w:rPr>
          <w:rFonts w:hAnsi="宋体"/>
          <w:color w:val="000000"/>
          <w:sz w:val="24"/>
        </w:rPr>
      </w:pPr>
      <w:r>
        <w:rPr>
          <w:rFonts w:hint="eastAsia" w:ascii="宋体" w:hAnsi="宋体"/>
          <w:color w:val="000000"/>
          <w:sz w:val="24"/>
        </w:rPr>
        <w:t>检查系统结构设计书包，并形成监理意见、提交建设单位。</w:t>
      </w:r>
      <w:bookmarkStart w:id="54" w:name="_Toc433896457"/>
    </w:p>
    <w:p>
      <w:pPr>
        <w:pStyle w:val="13"/>
        <w:spacing w:line="460" w:lineRule="exact"/>
        <w:ind w:left="480"/>
        <w:rPr>
          <w:rFonts w:hAnsi="宋体"/>
          <w:color w:val="000000"/>
          <w:sz w:val="24"/>
        </w:rPr>
      </w:pPr>
      <w:r>
        <w:rPr>
          <w:rFonts w:hint="eastAsia" w:hAnsi="宋体"/>
          <w:color w:val="000000"/>
          <w:sz w:val="24"/>
        </w:rPr>
        <w:t>3．准备阶段的监理</w:t>
      </w:r>
      <w:bookmarkEnd w:id="54"/>
    </w:p>
    <w:p>
      <w:pPr>
        <w:pStyle w:val="13"/>
        <w:numPr>
          <w:ilvl w:val="0"/>
          <w:numId w:val="36"/>
        </w:numPr>
        <w:spacing w:line="460" w:lineRule="exact"/>
        <w:rPr>
          <w:rFonts w:ascii="宋体" w:hAnsi="宋体"/>
          <w:color w:val="000000"/>
          <w:sz w:val="24"/>
        </w:rPr>
      </w:pPr>
      <w:r>
        <w:rPr>
          <w:rFonts w:hint="eastAsia" w:ascii="宋体" w:hAnsi="宋体"/>
          <w:color w:val="000000"/>
          <w:sz w:val="24"/>
        </w:rPr>
        <w:t>审核承建单位制定的《项目开发实施计划》；</w:t>
      </w:r>
    </w:p>
    <w:p>
      <w:pPr>
        <w:pStyle w:val="13"/>
        <w:numPr>
          <w:ilvl w:val="0"/>
          <w:numId w:val="36"/>
        </w:numPr>
        <w:spacing w:line="460" w:lineRule="exact"/>
        <w:rPr>
          <w:rFonts w:ascii="宋体" w:hAnsi="宋体"/>
          <w:color w:val="000000"/>
          <w:sz w:val="24"/>
        </w:rPr>
      </w:pPr>
      <w:r>
        <w:rPr>
          <w:rFonts w:hint="eastAsia" w:ascii="宋体" w:hAnsi="宋体"/>
          <w:color w:val="000000"/>
          <w:sz w:val="24"/>
        </w:rPr>
        <w:t>编制监理规划和监理实施细则；</w:t>
      </w:r>
    </w:p>
    <w:p>
      <w:pPr>
        <w:pStyle w:val="13"/>
        <w:numPr>
          <w:ilvl w:val="0"/>
          <w:numId w:val="36"/>
        </w:numPr>
        <w:spacing w:line="460" w:lineRule="exact"/>
        <w:rPr>
          <w:rFonts w:ascii="宋体" w:hAnsi="宋体"/>
          <w:color w:val="000000"/>
          <w:sz w:val="24"/>
        </w:rPr>
      </w:pPr>
      <w:r>
        <w:rPr>
          <w:rFonts w:hint="eastAsia" w:ascii="宋体" w:hAnsi="宋体"/>
          <w:color w:val="000000"/>
          <w:sz w:val="24"/>
        </w:rPr>
        <w:t>确定项目各方的组织结构、人员分工与职责，同时明确项目各项控制、管理和协调的机制；</w:t>
      </w:r>
    </w:p>
    <w:p>
      <w:pPr>
        <w:pStyle w:val="13"/>
        <w:numPr>
          <w:ilvl w:val="0"/>
          <w:numId w:val="36"/>
        </w:numPr>
        <w:spacing w:line="460" w:lineRule="exact"/>
        <w:rPr>
          <w:rFonts w:ascii="宋体" w:hAnsi="宋体"/>
          <w:color w:val="000000"/>
          <w:sz w:val="24"/>
        </w:rPr>
      </w:pPr>
      <w:r>
        <w:rPr>
          <w:rFonts w:hint="eastAsia" w:ascii="宋体" w:hAnsi="宋体"/>
          <w:color w:val="000000"/>
          <w:sz w:val="24"/>
        </w:rPr>
        <w:t>协助建设单位进行项目前期工作的准备，包括现场工作环境和调研的准备。</w:t>
      </w:r>
    </w:p>
    <w:p>
      <w:pPr>
        <w:pStyle w:val="13"/>
        <w:numPr>
          <w:ilvl w:val="0"/>
          <w:numId w:val="36"/>
        </w:numPr>
        <w:spacing w:line="460" w:lineRule="exact"/>
        <w:rPr>
          <w:rFonts w:ascii="宋体" w:hAnsi="宋体"/>
          <w:color w:val="000000"/>
          <w:sz w:val="24"/>
        </w:rPr>
      </w:pPr>
      <w:r>
        <w:rPr>
          <w:rFonts w:hint="eastAsia" w:ascii="宋体" w:hAnsi="宋体"/>
          <w:color w:val="000000"/>
          <w:sz w:val="24"/>
        </w:rPr>
        <w:t>督促建设单位和承建单位适时对项目计划及有关附属计划进行评审，并及时取得各方对项目计划的书面批准和承诺。</w:t>
      </w:r>
      <w:bookmarkStart w:id="55" w:name="_Toc433896458"/>
    </w:p>
    <w:p>
      <w:pPr>
        <w:pStyle w:val="13"/>
        <w:spacing w:line="460" w:lineRule="exact"/>
        <w:rPr>
          <w:rFonts w:ascii="宋体" w:hAnsi="宋体"/>
          <w:color w:val="000000"/>
          <w:sz w:val="24"/>
        </w:rPr>
      </w:pPr>
      <w:r>
        <w:rPr>
          <w:rFonts w:hint="eastAsia" w:hAnsi="宋体"/>
          <w:color w:val="000000"/>
          <w:sz w:val="24"/>
        </w:rPr>
        <w:t>4.实施阶段的监理</w:t>
      </w:r>
      <w:bookmarkEnd w:id="55"/>
    </w:p>
    <w:p>
      <w:pPr>
        <w:pStyle w:val="13"/>
        <w:spacing w:line="460" w:lineRule="exact"/>
        <w:ind w:firstLine="480" w:firstLineChars="200"/>
        <w:rPr>
          <w:rFonts w:ascii="宋体" w:hAnsi="宋体"/>
          <w:color w:val="000000"/>
          <w:sz w:val="24"/>
        </w:rPr>
      </w:pPr>
      <w:r>
        <w:rPr>
          <w:rFonts w:hint="eastAsia" w:ascii="宋体" w:hAnsi="宋体"/>
          <w:color w:val="000000"/>
          <w:sz w:val="24"/>
        </w:rPr>
        <w:t xml:space="preserve">本阶段主要进行设备安装、软件编码、单元测试、集成测试等工作内容。监理方须控制设备安装、软件编码及项目测试的工程进度，监督设备安装、软件编码及单元测试的质量，使得项目实施阶段的工作能可靠、高效的实现设计的目标，同时符合施工过程规范的要求。此阶段监理的主要任务包括： </w:t>
      </w:r>
    </w:p>
    <w:p>
      <w:pPr>
        <w:pStyle w:val="13"/>
        <w:numPr>
          <w:ilvl w:val="0"/>
          <w:numId w:val="37"/>
        </w:numPr>
        <w:spacing w:line="460" w:lineRule="exact"/>
        <w:rPr>
          <w:rFonts w:ascii="宋体" w:hAnsi="宋体"/>
          <w:color w:val="000000"/>
          <w:sz w:val="24"/>
        </w:rPr>
      </w:pPr>
      <w:r>
        <w:rPr>
          <w:rFonts w:hint="eastAsia" w:ascii="宋体" w:hAnsi="宋体"/>
          <w:color w:val="000000"/>
          <w:sz w:val="24"/>
        </w:rPr>
        <w:t>督促承建单位制订设备安装、软件编码、接入、集成测试的实施计划，确保测试方法完整、有效。</w:t>
      </w:r>
    </w:p>
    <w:p>
      <w:pPr>
        <w:pStyle w:val="13"/>
        <w:numPr>
          <w:ilvl w:val="0"/>
          <w:numId w:val="37"/>
        </w:numPr>
        <w:spacing w:line="460" w:lineRule="exact"/>
        <w:rPr>
          <w:rFonts w:ascii="宋体" w:hAnsi="宋体"/>
          <w:color w:val="000000"/>
          <w:sz w:val="24"/>
        </w:rPr>
      </w:pPr>
      <w:r>
        <w:rPr>
          <w:rFonts w:hint="eastAsia" w:ascii="宋体" w:hAnsi="宋体"/>
          <w:color w:val="000000"/>
          <w:sz w:val="24"/>
        </w:rPr>
        <w:t>监督承建单位按照计划的要求开展设备安装、软件编码活动。</w:t>
      </w:r>
    </w:p>
    <w:p>
      <w:pPr>
        <w:pStyle w:val="13"/>
        <w:numPr>
          <w:ilvl w:val="0"/>
          <w:numId w:val="37"/>
        </w:numPr>
        <w:spacing w:line="460" w:lineRule="exact"/>
        <w:rPr>
          <w:rFonts w:ascii="宋体" w:hAnsi="宋体"/>
          <w:color w:val="000000"/>
          <w:sz w:val="24"/>
        </w:rPr>
      </w:pPr>
      <w:r>
        <w:rPr>
          <w:rFonts w:hint="eastAsia" w:ascii="宋体" w:hAnsi="宋体"/>
          <w:color w:val="000000"/>
          <w:sz w:val="24"/>
        </w:rPr>
        <w:t>监督承建单位按照测试需求和进度安排进行测试。</w:t>
      </w:r>
    </w:p>
    <w:p>
      <w:pPr>
        <w:pStyle w:val="13"/>
        <w:numPr>
          <w:ilvl w:val="0"/>
          <w:numId w:val="37"/>
        </w:numPr>
        <w:spacing w:line="460" w:lineRule="exact"/>
        <w:rPr>
          <w:rFonts w:ascii="宋体" w:hAnsi="宋体"/>
          <w:color w:val="000000"/>
          <w:sz w:val="24"/>
        </w:rPr>
      </w:pPr>
      <w:r>
        <w:rPr>
          <w:rFonts w:hint="eastAsia" w:ascii="宋体" w:hAnsi="宋体"/>
          <w:color w:val="000000"/>
          <w:sz w:val="24"/>
        </w:rPr>
        <w:t>验证软件功能、性能、文档等与设计文档的一致性。</w:t>
      </w:r>
      <w:bookmarkStart w:id="56" w:name="_Toc433896460"/>
    </w:p>
    <w:p>
      <w:pPr>
        <w:pStyle w:val="13"/>
        <w:spacing w:line="460" w:lineRule="exact"/>
        <w:rPr>
          <w:rFonts w:ascii="宋体" w:hAnsi="宋体"/>
          <w:color w:val="000000"/>
          <w:sz w:val="24"/>
        </w:rPr>
      </w:pPr>
      <w:r>
        <w:rPr>
          <w:rFonts w:hint="eastAsia" w:hAnsi="宋体"/>
          <w:color w:val="000000"/>
          <w:sz w:val="24"/>
        </w:rPr>
        <w:t>5．初验阶段的监理</w:t>
      </w:r>
      <w:bookmarkEnd w:id="56"/>
    </w:p>
    <w:p>
      <w:pPr>
        <w:pStyle w:val="13"/>
        <w:spacing w:line="460" w:lineRule="exact"/>
        <w:ind w:firstLine="480" w:firstLineChars="200"/>
        <w:rPr>
          <w:rFonts w:ascii="宋体" w:hAnsi="宋体"/>
          <w:color w:val="000000"/>
          <w:sz w:val="24"/>
        </w:rPr>
      </w:pPr>
      <w:r>
        <w:rPr>
          <w:rFonts w:hint="eastAsia" w:ascii="宋体" w:hAnsi="宋体"/>
          <w:color w:val="000000"/>
          <w:sz w:val="24"/>
        </w:rPr>
        <w:t>本阶段监理方须检查合同履行情况、系统建设期间产生的文件和技术文档是否完善，是否达到初步验收的要求。如果达到初步验收要求，审核初步验收测试方案，并细化成验收实施方案，报建设单位批准。监理方参与验收，听取各方的工作报告，审阅工程档案资料并实地查验信息系统运行情况，并对信息系统设计、实施和设备质量等方面做出全面的评价和测试。</w:t>
      </w:r>
    </w:p>
    <w:p>
      <w:pPr>
        <w:pStyle w:val="13"/>
        <w:spacing w:line="460" w:lineRule="exact"/>
        <w:ind w:firstLine="480" w:firstLineChars="200"/>
        <w:rPr>
          <w:rFonts w:ascii="宋体" w:hAnsi="宋体"/>
          <w:color w:val="000000"/>
          <w:sz w:val="24"/>
        </w:rPr>
      </w:pPr>
      <w:r>
        <w:rPr>
          <w:rFonts w:hint="eastAsia" w:ascii="宋体" w:hAnsi="宋体"/>
          <w:color w:val="000000"/>
          <w:sz w:val="24"/>
        </w:rPr>
        <w:t>（1）系统初验的监理必须做到：</w:t>
      </w:r>
    </w:p>
    <w:p>
      <w:pPr>
        <w:pStyle w:val="13"/>
        <w:spacing w:line="460" w:lineRule="exact"/>
        <w:ind w:firstLine="480" w:firstLineChars="200"/>
        <w:rPr>
          <w:rFonts w:ascii="宋体" w:hAnsi="宋体"/>
          <w:color w:val="000000"/>
          <w:sz w:val="24"/>
        </w:rPr>
      </w:pPr>
      <w:r>
        <w:rPr>
          <w:rFonts w:hint="eastAsia" w:ascii="宋体" w:hAnsi="宋体"/>
          <w:color w:val="000000"/>
          <w:sz w:val="24"/>
        </w:rPr>
        <w:t>A.监理方需对承建单位的初验申请进行审查。初验条件应符合合同规定的初验条件，还应包括如下内容：</w:t>
      </w:r>
    </w:p>
    <w:p>
      <w:pPr>
        <w:pStyle w:val="13"/>
        <w:spacing w:line="460" w:lineRule="exact"/>
        <w:ind w:firstLine="480" w:firstLineChars="200"/>
        <w:rPr>
          <w:rFonts w:ascii="宋体" w:hAnsi="宋体"/>
          <w:color w:val="000000"/>
          <w:sz w:val="24"/>
        </w:rPr>
      </w:pPr>
      <w:r>
        <w:rPr>
          <w:rFonts w:hint="eastAsia" w:ascii="宋体" w:hAnsi="宋体"/>
          <w:color w:val="000000"/>
          <w:sz w:val="24"/>
        </w:rPr>
        <w:t>a) 软件实施工作已经结束；</w:t>
      </w:r>
    </w:p>
    <w:p>
      <w:pPr>
        <w:pStyle w:val="13"/>
        <w:spacing w:line="460" w:lineRule="exact"/>
        <w:ind w:firstLine="480" w:firstLineChars="200"/>
        <w:rPr>
          <w:rFonts w:ascii="宋体" w:hAnsi="宋体"/>
          <w:color w:val="000000"/>
          <w:sz w:val="24"/>
        </w:rPr>
      </w:pPr>
      <w:r>
        <w:rPr>
          <w:rFonts w:hint="eastAsia" w:ascii="宋体" w:hAnsi="宋体"/>
          <w:color w:val="000000"/>
          <w:sz w:val="24"/>
        </w:rPr>
        <w:t>b) 合同规定的各类文档齐全；</w:t>
      </w:r>
    </w:p>
    <w:p>
      <w:pPr>
        <w:pStyle w:val="13"/>
        <w:spacing w:line="460" w:lineRule="exact"/>
        <w:ind w:firstLine="480" w:firstLineChars="200"/>
        <w:rPr>
          <w:rFonts w:ascii="宋体" w:hAnsi="宋体"/>
          <w:color w:val="000000"/>
          <w:sz w:val="24"/>
        </w:rPr>
      </w:pPr>
      <w:r>
        <w:rPr>
          <w:rFonts w:hint="eastAsia" w:ascii="宋体" w:hAnsi="宋体"/>
          <w:color w:val="000000"/>
          <w:sz w:val="24"/>
        </w:rPr>
        <w:t>c) 软件产品已置于配置管理之下；</w:t>
      </w:r>
    </w:p>
    <w:p>
      <w:pPr>
        <w:pStyle w:val="13"/>
        <w:spacing w:line="460" w:lineRule="exact"/>
        <w:ind w:firstLine="480" w:firstLineChars="200"/>
        <w:rPr>
          <w:rFonts w:ascii="宋体" w:hAnsi="宋体"/>
          <w:color w:val="000000"/>
          <w:sz w:val="24"/>
        </w:rPr>
      </w:pPr>
      <w:r>
        <w:rPr>
          <w:rFonts w:hint="eastAsia" w:ascii="宋体" w:hAnsi="宋体"/>
          <w:color w:val="000000"/>
          <w:sz w:val="24"/>
        </w:rPr>
        <w:t>B.监理方需审查承建单位提交的验收方案的符合性（验收目标、责任双方、验收提交清单、验收标准、验收方式、验收流程、验收环境等）及可行性。</w:t>
      </w:r>
    </w:p>
    <w:p>
      <w:pPr>
        <w:pStyle w:val="13"/>
        <w:spacing w:line="460" w:lineRule="exact"/>
        <w:ind w:firstLine="480" w:firstLineChars="200"/>
        <w:rPr>
          <w:rFonts w:ascii="宋体" w:hAnsi="宋体"/>
          <w:color w:val="000000"/>
          <w:sz w:val="24"/>
        </w:rPr>
      </w:pPr>
      <w:r>
        <w:rPr>
          <w:rFonts w:hint="eastAsia" w:ascii="宋体" w:hAnsi="宋体"/>
          <w:color w:val="000000"/>
          <w:sz w:val="24"/>
        </w:rPr>
        <w:t>C．监理方需对承建单位提交的文档进行审核，并形成文档。</w:t>
      </w:r>
    </w:p>
    <w:p>
      <w:pPr>
        <w:pStyle w:val="13"/>
        <w:spacing w:line="460" w:lineRule="exact"/>
        <w:rPr>
          <w:rFonts w:ascii="宋体" w:hAnsi="宋体"/>
          <w:color w:val="000000"/>
          <w:sz w:val="24"/>
        </w:rPr>
      </w:pPr>
      <w:r>
        <w:rPr>
          <w:rFonts w:hint="eastAsia" w:ascii="宋体" w:hAnsi="宋体"/>
          <w:color w:val="000000"/>
          <w:sz w:val="24"/>
        </w:rPr>
        <w:t>（2）监理方需协助建设单位通过测试软件产品在目标环境的选定区域中的适用性，以确认软件产品满足它的预期用途，评价时应参考业务指标评价体系并应考虑下列准则。评价结果应形成文档并提交建设单位。</w:t>
      </w:r>
    </w:p>
    <w:p>
      <w:pPr>
        <w:pStyle w:val="13"/>
        <w:spacing w:line="460" w:lineRule="exact"/>
        <w:ind w:firstLine="480" w:firstLineChars="200"/>
        <w:rPr>
          <w:rFonts w:ascii="宋体" w:hAnsi="宋体"/>
          <w:color w:val="000000"/>
          <w:sz w:val="24"/>
        </w:rPr>
      </w:pPr>
      <w:r>
        <w:rPr>
          <w:rFonts w:hint="eastAsia" w:ascii="宋体" w:hAnsi="宋体"/>
          <w:color w:val="000000"/>
          <w:sz w:val="24"/>
        </w:rPr>
        <w:t>A.与合同的一致性；</w:t>
      </w:r>
    </w:p>
    <w:p>
      <w:pPr>
        <w:pStyle w:val="13"/>
        <w:spacing w:line="460" w:lineRule="exact"/>
        <w:ind w:firstLine="480" w:firstLineChars="200"/>
        <w:rPr>
          <w:rFonts w:ascii="宋体" w:hAnsi="宋体"/>
          <w:color w:val="000000"/>
          <w:sz w:val="24"/>
        </w:rPr>
      </w:pPr>
      <w:r>
        <w:rPr>
          <w:rFonts w:hint="eastAsia" w:ascii="宋体" w:hAnsi="宋体"/>
          <w:color w:val="000000"/>
          <w:sz w:val="24"/>
        </w:rPr>
        <w:t>B.与系统需求的一致性；</w:t>
      </w:r>
    </w:p>
    <w:p>
      <w:pPr>
        <w:pStyle w:val="13"/>
        <w:spacing w:line="460" w:lineRule="exact"/>
        <w:ind w:firstLine="480" w:firstLineChars="200"/>
        <w:rPr>
          <w:rFonts w:ascii="宋体" w:hAnsi="宋体"/>
          <w:color w:val="000000"/>
          <w:sz w:val="24"/>
        </w:rPr>
      </w:pPr>
      <w:r>
        <w:rPr>
          <w:rFonts w:hint="eastAsia" w:ascii="宋体" w:hAnsi="宋体"/>
          <w:color w:val="000000"/>
          <w:sz w:val="24"/>
        </w:rPr>
        <w:t>C.与预期结果的符合程度，包括但不仅限于与信息资源规划、业务流程再造需求及业务持续改进需求和业务指标评价体系的符合程度；</w:t>
      </w:r>
    </w:p>
    <w:p>
      <w:pPr>
        <w:pStyle w:val="13"/>
        <w:spacing w:line="460" w:lineRule="exact"/>
        <w:ind w:firstLine="480" w:firstLineChars="200"/>
        <w:rPr>
          <w:rFonts w:ascii="宋体" w:hAnsi="宋体"/>
          <w:color w:val="000000"/>
          <w:sz w:val="24"/>
        </w:rPr>
      </w:pPr>
      <w:r>
        <w:rPr>
          <w:rFonts w:hint="eastAsia" w:ascii="宋体" w:hAnsi="宋体"/>
          <w:color w:val="000000"/>
          <w:sz w:val="24"/>
        </w:rPr>
        <w:t>D. 与业务需求的符合程度；</w:t>
      </w:r>
    </w:p>
    <w:p>
      <w:pPr>
        <w:pStyle w:val="13"/>
        <w:spacing w:line="460" w:lineRule="exact"/>
        <w:ind w:firstLine="480" w:firstLineChars="200"/>
        <w:rPr>
          <w:rFonts w:ascii="宋体" w:hAnsi="宋体"/>
          <w:color w:val="000000"/>
          <w:sz w:val="24"/>
        </w:rPr>
      </w:pPr>
      <w:r>
        <w:rPr>
          <w:rFonts w:hint="eastAsia" w:ascii="宋体" w:hAnsi="宋体"/>
          <w:color w:val="000000"/>
          <w:sz w:val="24"/>
        </w:rPr>
        <w:t>E. 运作和维护的可行性。</w:t>
      </w:r>
    </w:p>
    <w:p>
      <w:pPr>
        <w:pStyle w:val="13"/>
        <w:spacing w:line="460" w:lineRule="exact"/>
        <w:ind w:firstLine="480" w:firstLineChars="200"/>
        <w:rPr>
          <w:rFonts w:ascii="宋体" w:hAnsi="宋体"/>
          <w:color w:val="000000"/>
          <w:sz w:val="24"/>
        </w:rPr>
      </w:pPr>
      <w:r>
        <w:rPr>
          <w:rFonts w:hint="eastAsia" w:ascii="宋体" w:hAnsi="宋体"/>
          <w:color w:val="000000"/>
          <w:sz w:val="24"/>
        </w:rPr>
        <w:t>F.监理方需监督承建单位解决系统初验中发现的问题和不合格项，并形成监理意见。</w:t>
      </w:r>
      <w:bookmarkStart w:id="57" w:name="_Toc433896461"/>
    </w:p>
    <w:p>
      <w:pPr>
        <w:pStyle w:val="13"/>
        <w:spacing w:line="460" w:lineRule="exact"/>
        <w:ind w:firstLine="480" w:firstLineChars="200"/>
        <w:rPr>
          <w:rFonts w:ascii="宋体" w:hAnsi="宋体"/>
          <w:color w:val="000000"/>
          <w:sz w:val="24"/>
        </w:rPr>
      </w:pPr>
      <w:r>
        <w:rPr>
          <w:rFonts w:hint="eastAsia" w:hAnsi="宋体"/>
          <w:color w:val="000000"/>
          <w:sz w:val="24"/>
        </w:rPr>
        <w:t>6．试运行阶段的监理</w:t>
      </w:r>
      <w:bookmarkEnd w:id="57"/>
    </w:p>
    <w:p>
      <w:pPr>
        <w:pStyle w:val="13"/>
        <w:spacing w:line="460" w:lineRule="exact"/>
        <w:ind w:firstLine="480" w:firstLineChars="200"/>
        <w:rPr>
          <w:rFonts w:ascii="宋体" w:hAnsi="宋体"/>
          <w:color w:val="000000"/>
          <w:sz w:val="24"/>
        </w:rPr>
      </w:pPr>
      <w:r>
        <w:rPr>
          <w:rFonts w:hint="eastAsia" w:ascii="宋体" w:hAnsi="宋体"/>
          <w:color w:val="000000"/>
          <w:sz w:val="24"/>
        </w:rPr>
        <w:t>系统在开发和测试完成后首先需要经过一段时间的试运行。系统试运行实际是测试的延续，检查系统的稳定性、适用性等。监理方在这个阶段的主要工作有：</w:t>
      </w:r>
    </w:p>
    <w:p>
      <w:pPr>
        <w:pStyle w:val="13"/>
        <w:numPr>
          <w:ilvl w:val="0"/>
          <w:numId w:val="38"/>
        </w:numPr>
        <w:spacing w:line="460" w:lineRule="exact"/>
        <w:rPr>
          <w:rFonts w:ascii="宋体" w:hAnsi="宋体"/>
          <w:color w:val="000000"/>
          <w:sz w:val="24"/>
        </w:rPr>
      </w:pPr>
      <w:r>
        <w:rPr>
          <w:rFonts w:hint="eastAsia" w:ascii="宋体" w:hAnsi="宋体"/>
          <w:color w:val="000000"/>
          <w:sz w:val="24"/>
        </w:rPr>
        <w:t>督促承建单位制订详细的系统试运行计划。</w:t>
      </w:r>
    </w:p>
    <w:p>
      <w:pPr>
        <w:pStyle w:val="13"/>
        <w:numPr>
          <w:ilvl w:val="0"/>
          <w:numId w:val="38"/>
        </w:numPr>
        <w:spacing w:line="460" w:lineRule="exact"/>
        <w:ind w:left="0" w:firstLine="420"/>
        <w:rPr>
          <w:rFonts w:ascii="宋体" w:hAnsi="宋体"/>
          <w:color w:val="000000"/>
          <w:sz w:val="24"/>
        </w:rPr>
      </w:pPr>
      <w:r>
        <w:rPr>
          <w:rFonts w:hint="eastAsia" w:ascii="宋体" w:hAnsi="宋体"/>
          <w:color w:val="000000"/>
          <w:sz w:val="24"/>
        </w:rPr>
        <w:t>协助承建单位和建设单位按照计划实施试运行活动。</w:t>
      </w:r>
    </w:p>
    <w:p>
      <w:pPr>
        <w:pStyle w:val="13"/>
        <w:numPr>
          <w:ilvl w:val="0"/>
          <w:numId w:val="38"/>
        </w:numPr>
        <w:spacing w:line="460" w:lineRule="exact"/>
        <w:ind w:left="0" w:firstLine="420"/>
        <w:rPr>
          <w:rFonts w:ascii="宋体" w:hAnsi="宋体"/>
          <w:color w:val="000000"/>
          <w:sz w:val="24"/>
        </w:rPr>
      </w:pPr>
      <w:r>
        <w:rPr>
          <w:rFonts w:hint="eastAsia" w:ascii="宋体" w:hAnsi="宋体"/>
          <w:color w:val="000000"/>
          <w:sz w:val="24"/>
        </w:rPr>
        <w:t>监督承建单位配合建设单位在试运行过程中进行的用户测试，测试结果应形成文档。</w:t>
      </w:r>
    </w:p>
    <w:p>
      <w:pPr>
        <w:pStyle w:val="13"/>
        <w:numPr>
          <w:ilvl w:val="0"/>
          <w:numId w:val="38"/>
        </w:numPr>
        <w:spacing w:line="460" w:lineRule="exact"/>
        <w:ind w:left="0" w:firstLine="420"/>
        <w:rPr>
          <w:rFonts w:ascii="宋体" w:hAnsi="宋体"/>
          <w:color w:val="000000"/>
          <w:sz w:val="24"/>
        </w:rPr>
      </w:pPr>
      <w:r>
        <w:rPr>
          <w:rFonts w:hint="eastAsia" w:ascii="宋体" w:hAnsi="宋体"/>
          <w:color w:val="000000"/>
          <w:sz w:val="24"/>
        </w:rPr>
        <w:t>监督承建单位解决系统试运行中发现的问题和不合格项，形成监理意见，提交建设单位。</w:t>
      </w:r>
    </w:p>
    <w:p>
      <w:pPr>
        <w:pStyle w:val="13"/>
        <w:numPr>
          <w:ilvl w:val="0"/>
          <w:numId w:val="38"/>
        </w:numPr>
        <w:spacing w:line="460" w:lineRule="exact"/>
        <w:ind w:left="0" w:firstLine="420"/>
        <w:rPr>
          <w:rFonts w:ascii="宋体" w:hAnsi="宋体"/>
          <w:color w:val="000000"/>
          <w:sz w:val="24"/>
        </w:rPr>
      </w:pPr>
      <w:r>
        <w:rPr>
          <w:rFonts w:hint="eastAsia" w:ascii="宋体" w:hAnsi="宋体"/>
          <w:color w:val="000000"/>
          <w:sz w:val="24"/>
        </w:rPr>
        <w:t>对于一些重复出现的问题，督促承建单位及时解决。</w:t>
      </w:r>
      <w:bookmarkStart w:id="58" w:name="_Toc433896462"/>
    </w:p>
    <w:p>
      <w:pPr>
        <w:pStyle w:val="13"/>
        <w:spacing w:line="460" w:lineRule="exact"/>
        <w:ind w:firstLine="480" w:firstLineChars="200"/>
        <w:rPr>
          <w:rFonts w:ascii="宋体" w:hAnsi="宋体"/>
          <w:color w:val="000000"/>
          <w:sz w:val="24"/>
        </w:rPr>
      </w:pPr>
      <w:r>
        <w:rPr>
          <w:rFonts w:hint="eastAsia" w:hAnsi="宋体"/>
          <w:color w:val="000000"/>
          <w:sz w:val="24"/>
        </w:rPr>
        <w:t>7．终验阶段的监理</w:t>
      </w:r>
      <w:bookmarkEnd w:id="58"/>
    </w:p>
    <w:p>
      <w:pPr>
        <w:pStyle w:val="13"/>
        <w:spacing w:line="460" w:lineRule="exact"/>
        <w:ind w:firstLine="480" w:firstLineChars="200"/>
        <w:rPr>
          <w:rFonts w:ascii="宋体" w:hAnsi="宋体"/>
          <w:color w:val="000000"/>
          <w:sz w:val="24"/>
        </w:rPr>
      </w:pPr>
      <w:r>
        <w:rPr>
          <w:rFonts w:hint="eastAsia" w:ascii="宋体" w:hAnsi="宋体"/>
          <w:color w:val="000000"/>
          <w:sz w:val="24"/>
        </w:rPr>
        <w:t>验收由建设单位、监理单位和承建单位三方共同成立项目测试组，对项目建设内容和项目建设质量进行评估，项目验收由专家组负责。</w:t>
      </w:r>
    </w:p>
    <w:p>
      <w:pPr>
        <w:pStyle w:val="13"/>
        <w:spacing w:line="460" w:lineRule="exact"/>
        <w:ind w:firstLine="480" w:firstLineChars="200"/>
        <w:rPr>
          <w:rFonts w:ascii="宋体" w:hAnsi="宋体"/>
          <w:color w:val="000000"/>
          <w:sz w:val="24"/>
        </w:rPr>
      </w:pPr>
      <w:r>
        <w:rPr>
          <w:rFonts w:hint="eastAsia" w:ascii="宋体" w:hAnsi="宋体"/>
          <w:color w:val="000000"/>
          <w:sz w:val="24"/>
        </w:rPr>
        <w:t>验收项目包括按照招标文件、承建单位投标文件和项目建设合同中所标明的建设内容，及相关的技术文档、培训教材、国家、地方和行业相关标准规范等。</w:t>
      </w:r>
    </w:p>
    <w:p>
      <w:pPr>
        <w:pStyle w:val="13"/>
        <w:spacing w:line="460" w:lineRule="exact"/>
        <w:ind w:firstLine="480" w:firstLineChars="200"/>
        <w:rPr>
          <w:rFonts w:ascii="宋体" w:hAnsi="宋体"/>
          <w:color w:val="000000"/>
          <w:sz w:val="24"/>
        </w:rPr>
      </w:pPr>
      <w:r>
        <w:rPr>
          <w:rFonts w:hint="eastAsia" w:ascii="宋体" w:hAnsi="宋体"/>
          <w:color w:val="000000"/>
          <w:sz w:val="24"/>
        </w:rPr>
        <w:t xml:space="preserve">在项目验收时，监理应遵循下列标准： </w:t>
      </w:r>
    </w:p>
    <w:p>
      <w:pPr>
        <w:pStyle w:val="13"/>
        <w:numPr>
          <w:ilvl w:val="1"/>
          <w:numId w:val="35"/>
        </w:numPr>
        <w:spacing w:line="460" w:lineRule="exact"/>
        <w:ind w:left="0" w:firstLine="567"/>
        <w:rPr>
          <w:rFonts w:ascii="宋体" w:hAnsi="宋体"/>
          <w:color w:val="000000"/>
          <w:sz w:val="24"/>
        </w:rPr>
      </w:pPr>
      <w:r>
        <w:rPr>
          <w:rFonts w:hint="eastAsia" w:ascii="宋体" w:hAnsi="宋体"/>
          <w:color w:val="000000"/>
          <w:sz w:val="24"/>
        </w:rPr>
        <w:t>满足项目招标文件、承建单位投标文件和项目建设合同中列举的全部要求；</w:t>
      </w:r>
    </w:p>
    <w:p>
      <w:pPr>
        <w:pStyle w:val="13"/>
        <w:numPr>
          <w:ilvl w:val="1"/>
          <w:numId w:val="35"/>
        </w:numPr>
        <w:spacing w:line="460" w:lineRule="exact"/>
        <w:ind w:left="0" w:firstLine="567"/>
        <w:rPr>
          <w:rFonts w:ascii="宋体" w:hAnsi="宋体"/>
          <w:color w:val="000000"/>
          <w:sz w:val="24"/>
        </w:rPr>
      </w:pPr>
      <w:r>
        <w:rPr>
          <w:rFonts w:hint="eastAsia" w:ascii="宋体" w:hAnsi="宋体"/>
          <w:color w:val="000000"/>
          <w:sz w:val="24"/>
        </w:rPr>
        <w:t>实现项目招标文件、承建单位投标文件和项目建设合同中列举的全部功能；</w:t>
      </w:r>
    </w:p>
    <w:p>
      <w:pPr>
        <w:pStyle w:val="13"/>
        <w:numPr>
          <w:ilvl w:val="1"/>
          <w:numId w:val="35"/>
        </w:numPr>
        <w:spacing w:line="460" w:lineRule="exact"/>
        <w:ind w:left="0" w:firstLine="567"/>
        <w:rPr>
          <w:rFonts w:ascii="宋体" w:hAnsi="宋体"/>
          <w:color w:val="000000"/>
          <w:sz w:val="24"/>
        </w:rPr>
      </w:pPr>
      <w:r>
        <w:rPr>
          <w:rFonts w:hint="eastAsia" w:ascii="宋体" w:hAnsi="宋体"/>
          <w:color w:val="000000"/>
          <w:sz w:val="24"/>
        </w:rPr>
        <w:t xml:space="preserve">达到项目招标文件、承建单位投标文件和项目建设合同中列举的全部指标。 </w:t>
      </w:r>
    </w:p>
    <w:p>
      <w:pPr>
        <w:pStyle w:val="13"/>
        <w:spacing w:line="460" w:lineRule="exact"/>
        <w:ind w:firstLine="480" w:firstLineChars="200"/>
        <w:rPr>
          <w:rFonts w:ascii="宋体" w:hAnsi="宋体"/>
          <w:color w:val="000000"/>
          <w:sz w:val="24"/>
        </w:rPr>
      </w:pPr>
      <w:r>
        <w:rPr>
          <w:rFonts w:hint="eastAsia" w:ascii="宋体" w:hAnsi="宋体"/>
          <w:color w:val="000000"/>
          <w:sz w:val="24"/>
        </w:rPr>
        <w:t>具体的验收工作包括以下：</w:t>
      </w:r>
    </w:p>
    <w:p>
      <w:pPr>
        <w:pStyle w:val="13"/>
        <w:spacing w:line="460" w:lineRule="exact"/>
        <w:ind w:firstLine="480" w:firstLineChars="200"/>
        <w:rPr>
          <w:rFonts w:ascii="宋体" w:hAnsi="宋体"/>
          <w:color w:val="000000"/>
          <w:sz w:val="24"/>
        </w:rPr>
      </w:pPr>
      <w:r>
        <w:rPr>
          <w:rFonts w:hint="eastAsia" w:ascii="宋体" w:hAnsi="宋体"/>
          <w:color w:val="000000"/>
          <w:sz w:val="24"/>
        </w:rPr>
        <w:t>（1）监理方需要求承建单位按合同中的规定提供评价、评审、审核、测试和解决问题的报告，并审核是否达到合同规定的验收条件，验收条件还应包括如下内容：</w:t>
      </w:r>
    </w:p>
    <w:p>
      <w:pPr>
        <w:pStyle w:val="13"/>
        <w:spacing w:line="460" w:lineRule="exact"/>
        <w:ind w:firstLine="480" w:firstLineChars="200"/>
        <w:rPr>
          <w:rFonts w:ascii="宋体" w:hAnsi="宋体"/>
          <w:color w:val="000000"/>
          <w:sz w:val="24"/>
        </w:rPr>
      </w:pPr>
      <w:r>
        <w:rPr>
          <w:rFonts w:hint="eastAsia" w:ascii="宋体" w:hAnsi="宋体"/>
          <w:color w:val="000000"/>
          <w:sz w:val="24"/>
        </w:rPr>
        <w:t>A.满足初验的条件；</w:t>
      </w:r>
    </w:p>
    <w:p>
      <w:pPr>
        <w:pStyle w:val="13"/>
        <w:spacing w:line="460" w:lineRule="exact"/>
        <w:ind w:firstLine="480" w:firstLineChars="200"/>
        <w:rPr>
          <w:rFonts w:ascii="宋体" w:hAnsi="宋体"/>
          <w:color w:val="000000"/>
          <w:sz w:val="24"/>
        </w:rPr>
      </w:pPr>
      <w:r>
        <w:rPr>
          <w:rFonts w:hint="eastAsia" w:ascii="宋体" w:hAnsi="宋体"/>
          <w:color w:val="000000"/>
          <w:sz w:val="24"/>
        </w:rPr>
        <w:t>B. 初验合格；</w:t>
      </w:r>
    </w:p>
    <w:p>
      <w:pPr>
        <w:pStyle w:val="13"/>
        <w:spacing w:line="460" w:lineRule="exact"/>
        <w:ind w:firstLine="480" w:firstLineChars="200"/>
        <w:rPr>
          <w:rFonts w:ascii="宋体" w:hAnsi="宋体"/>
          <w:color w:val="000000"/>
          <w:sz w:val="24"/>
        </w:rPr>
      </w:pPr>
      <w:r>
        <w:rPr>
          <w:rFonts w:hint="eastAsia" w:ascii="宋体" w:hAnsi="宋体"/>
          <w:color w:val="000000"/>
          <w:sz w:val="24"/>
        </w:rPr>
        <w:t>C. 试运行正常并且出现的问题已经得到解决；</w:t>
      </w:r>
    </w:p>
    <w:p>
      <w:pPr>
        <w:pStyle w:val="13"/>
        <w:spacing w:line="460" w:lineRule="exact"/>
        <w:ind w:firstLine="566" w:firstLineChars="236"/>
        <w:rPr>
          <w:rFonts w:ascii="宋体" w:hAnsi="宋体"/>
          <w:color w:val="000000"/>
          <w:sz w:val="24"/>
        </w:rPr>
      </w:pPr>
      <w:r>
        <w:rPr>
          <w:rFonts w:hint="eastAsia" w:ascii="宋体" w:hAnsi="宋体"/>
          <w:color w:val="000000"/>
          <w:sz w:val="24"/>
        </w:rPr>
        <w:t>（2）监理方需协助建设单位根据已确定的验收策略和准则准备验收，包括准备测试用例、测试数据、测试规程和测试环境。</w:t>
      </w:r>
    </w:p>
    <w:p>
      <w:pPr>
        <w:pStyle w:val="13"/>
        <w:spacing w:line="460" w:lineRule="exact"/>
        <w:ind w:firstLine="425" w:firstLineChars="177"/>
        <w:rPr>
          <w:rFonts w:ascii="宋体" w:hAnsi="宋体"/>
          <w:color w:val="000000"/>
          <w:sz w:val="24"/>
        </w:rPr>
      </w:pPr>
      <w:r>
        <w:rPr>
          <w:rFonts w:hint="eastAsia" w:ascii="宋体" w:hAnsi="宋体"/>
          <w:color w:val="000000"/>
          <w:sz w:val="24"/>
        </w:rPr>
        <w:t>（3）监理方需协助建设单位对可交付软件产品或服务进行验收评审和验收测试，并形成文档。</w:t>
      </w:r>
    </w:p>
    <w:p>
      <w:pPr>
        <w:pStyle w:val="13"/>
        <w:spacing w:line="460" w:lineRule="exact"/>
        <w:ind w:firstLine="480" w:firstLineChars="200"/>
        <w:rPr>
          <w:rFonts w:ascii="宋体" w:hAnsi="宋体"/>
          <w:color w:val="000000"/>
          <w:sz w:val="24"/>
        </w:rPr>
      </w:pPr>
      <w:r>
        <w:rPr>
          <w:rFonts w:hint="eastAsia" w:ascii="宋体" w:hAnsi="宋体"/>
          <w:color w:val="000000"/>
          <w:sz w:val="24"/>
        </w:rPr>
        <w:t>（4）监理方需协助建设单位验收系统，评价时应参考业务指标评价体系并应考虑下列准则。评价结果应形成监理意见，并提交建设单位。</w:t>
      </w:r>
    </w:p>
    <w:p>
      <w:pPr>
        <w:pStyle w:val="13"/>
        <w:spacing w:line="460" w:lineRule="exact"/>
        <w:ind w:firstLine="480" w:firstLineChars="200"/>
        <w:rPr>
          <w:rFonts w:ascii="宋体" w:hAnsi="宋体"/>
          <w:color w:val="000000"/>
          <w:sz w:val="24"/>
        </w:rPr>
      </w:pPr>
      <w:r>
        <w:rPr>
          <w:rFonts w:hint="eastAsia" w:ascii="宋体" w:hAnsi="宋体"/>
          <w:color w:val="000000"/>
          <w:sz w:val="24"/>
        </w:rPr>
        <w:t>A.与合同的一致性；</w:t>
      </w:r>
    </w:p>
    <w:p>
      <w:pPr>
        <w:pStyle w:val="13"/>
        <w:spacing w:line="460" w:lineRule="exact"/>
        <w:ind w:firstLine="480" w:firstLineChars="200"/>
        <w:rPr>
          <w:rFonts w:ascii="宋体" w:hAnsi="宋体"/>
          <w:color w:val="000000"/>
          <w:sz w:val="24"/>
        </w:rPr>
      </w:pPr>
      <w:r>
        <w:rPr>
          <w:rFonts w:hint="eastAsia" w:ascii="宋体" w:hAnsi="宋体"/>
          <w:color w:val="000000"/>
          <w:sz w:val="24"/>
        </w:rPr>
        <w:t>B. 与系统需求的一致性；</w:t>
      </w:r>
    </w:p>
    <w:p>
      <w:pPr>
        <w:pStyle w:val="13"/>
        <w:spacing w:line="460" w:lineRule="exact"/>
        <w:ind w:firstLine="480" w:firstLineChars="200"/>
        <w:rPr>
          <w:rFonts w:ascii="宋体" w:hAnsi="宋体"/>
          <w:color w:val="000000"/>
          <w:sz w:val="24"/>
        </w:rPr>
      </w:pPr>
      <w:r>
        <w:rPr>
          <w:rFonts w:hint="eastAsia" w:ascii="宋体" w:hAnsi="宋体"/>
          <w:color w:val="000000"/>
          <w:sz w:val="24"/>
        </w:rPr>
        <w:t>C. 与业务需求的符合程度；</w:t>
      </w:r>
    </w:p>
    <w:p>
      <w:pPr>
        <w:pStyle w:val="13"/>
        <w:spacing w:line="460" w:lineRule="exact"/>
        <w:ind w:firstLine="480" w:firstLineChars="200"/>
        <w:rPr>
          <w:rFonts w:ascii="宋体" w:hAnsi="宋体"/>
          <w:color w:val="000000"/>
          <w:sz w:val="24"/>
        </w:rPr>
      </w:pPr>
      <w:r>
        <w:rPr>
          <w:rFonts w:hint="eastAsia" w:ascii="宋体" w:hAnsi="宋体"/>
          <w:color w:val="000000"/>
          <w:sz w:val="24"/>
        </w:rPr>
        <w:t>D. 与预期结果的符合程度，包括但不仅限于与信息资源规划、业务流程再造需求及业务持续改进需求和业务指标评价体系的符合程度；</w:t>
      </w:r>
    </w:p>
    <w:p>
      <w:pPr>
        <w:pStyle w:val="13"/>
        <w:spacing w:line="460" w:lineRule="exact"/>
        <w:ind w:firstLine="480" w:firstLineChars="200"/>
        <w:rPr>
          <w:rFonts w:ascii="宋体" w:hAnsi="宋体"/>
          <w:color w:val="000000"/>
          <w:sz w:val="24"/>
        </w:rPr>
      </w:pPr>
      <w:r>
        <w:rPr>
          <w:rFonts w:hint="eastAsia" w:ascii="宋体" w:hAnsi="宋体"/>
          <w:color w:val="000000"/>
          <w:sz w:val="24"/>
        </w:rPr>
        <w:t>（5）监理方需监督承建单位解决系统终验中发现的问题和不合格项，并形成监理意见。</w:t>
      </w:r>
    </w:p>
    <w:p>
      <w:pPr>
        <w:pStyle w:val="13"/>
        <w:spacing w:line="460" w:lineRule="exact"/>
        <w:ind w:firstLine="480" w:firstLineChars="200"/>
        <w:rPr>
          <w:rFonts w:ascii="宋体" w:hAnsi="宋体"/>
          <w:color w:val="000000"/>
          <w:sz w:val="24"/>
        </w:rPr>
      </w:pPr>
      <w:r>
        <w:rPr>
          <w:rFonts w:hint="eastAsia" w:ascii="宋体" w:hAnsi="宋体"/>
          <w:color w:val="000000"/>
          <w:sz w:val="24"/>
        </w:rPr>
        <w:t>（6）监理方要求承建单位按合同中的规定提供评价、评审、审核、测试和解决问题的报告，并审核是否达到合同规定的验收条件，验收条件还应包括对照建设项目的标书和合同，审核测试验收方案的符合性及可行性。</w:t>
      </w:r>
    </w:p>
    <w:p>
      <w:pPr>
        <w:pStyle w:val="13"/>
        <w:spacing w:line="460" w:lineRule="exact"/>
        <w:ind w:firstLine="480" w:firstLineChars="200"/>
        <w:rPr>
          <w:rFonts w:ascii="宋体" w:hAnsi="宋体"/>
          <w:color w:val="000000"/>
          <w:sz w:val="24"/>
        </w:rPr>
      </w:pPr>
      <w:r>
        <w:rPr>
          <w:rFonts w:hint="eastAsia" w:ascii="宋体" w:hAnsi="宋体"/>
          <w:color w:val="000000"/>
          <w:sz w:val="24"/>
        </w:rPr>
        <w:t>（7）依照建设合同、标书、法律、法规和标准的要求，审核系统的测试报告，确认系统最终功能和性能是否达到了验收的要求。</w:t>
      </w:r>
    </w:p>
    <w:p>
      <w:pPr>
        <w:pStyle w:val="13"/>
        <w:spacing w:line="460" w:lineRule="exact"/>
        <w:ind w:firstLine="480" w:firstLineChars="200"/>
        <w:rPr>
          <w:rFonts w:ascii="宋体" w:hAnsi="宋体"/>
          <w:color w:val="000000"/>
          <w:sz w:val="24"/>
        </w:rPr>
      </w:pPr>
      <w:r>
        <w:rPr>
          <w:rFonts w:hint="eastAsia" w:ascii="宋体" w:hAnsi="宋体"/>
          <w:color w:val="000000"/>
          <w:sz w:val="24"/>
        </w:rPr>
        <w:t>（8）检查承建单位所提交的项目各阶段形成的技术、管理文档的内容和种类是否符合相关标准，是否规范化。</w:t>
      </w:r>
    </w:p>
    <w:p>
      <w:pPr>
        <w:pStyle w:val="13"/>
        <w:spacing w:line="460" w:lineRule="exact"/>
        <w:ind w:firstLine="480" w:firstLineChars="200"/>
        <w:rPr>
          <w:rFonts w:ascii="宋体" w:hAnsi="宋体"/>
          <w:color w:val="000000"/>
          <w:sz w:val="24"/>
        </w:rPr>
      </w:pPr>
      <w:r>
        <w:rPr>
          <w:rFonts w:hint="eastAsia" w:ascii="宋体" w:hAnsi="宋体"/>
          <w:color w:val="000000"/>
          <w:sz w:val="24"/>
        </w:rPr>
        <w:t>（9）针对系统信息化工程的特殊需求，审查培训计划和评估培训效果是否达到合同要求。</w:t>
      </w:r>
      <w:bookmarkStart w:id="59" w:name="_Toc433896463"/>
    </w:p>
    <w:p>
      <w:pPr>
        <w:pStyle w:val="13"/>
        <w:spacing w:line="460" w:lineRule="exact"/>
        <w:ind w:firstLine="480" w:firstLineChars="200"/>
        <w:rPr>
          <w:rFonts w:ascii="宋体" w:hAnsi="宋体"/>
          <w:color w:val="000000"/>
          <w:sz w:val="24"/>
        </w:rPr>
      </w:pPr>
      <w:r>
        <w:rPr>
          <w:rFonts w:hint="eastAsia" w:hAnsi="宋体"/>
          <w:color w:val="000000"/>
          <w:sz w:val="24"/>
        </w:rPr>
        <w:t>8.项目移交阶段的监理</w:t>
      </w:r>
      <w:bookmarkEnd w:id="59"/>
    </w:p>
    <w:p>
      <w:pPr>
        <w:pStyle w:val="13"/>
        <w:spacing w:line="460" w:lineRule="exact"/>
        <w:ind w:firstLine="480" w:firstLineChars="200"/>
        <w:rPr>
          <w:rFonts w:ascii="宋体" w:hAnsi="宋体"/>
          <w:color w:val="000000"/>
          <w:sz w:val="24"/>
        </w:rPr>
      </w:pPr>
      <w:r>
        <w:rPr>
          <w:rFonts w:hint="eastAsia" w:ascii="宋体" w:hAnsi="宋体"/>
          <w:color w:val="000000"/>
          <w:sz w:val="24"/>
        </w:rPr>
        <w:t>系统验收通过便可进行系统移交，此阶段监理重点是确保文档及软件的完整、版本一致，监理方主要的工作和要求如下：</w:t>
      </w:r>
    </w:p>
    <w:p>
      <w:pPr>
        <w:pStyle w:val="13"/>
        <w:numPr>
          <w:ilvl w:val="0"/>
          <w:numId w:val="39"/>
        </w:numPr>
        <w:spacing w:line="460" w:lineRule="exact"/>
        <w:rPr>
          <w:rFonts w:ascii="宋体" w:hAnsi="宋体"/>
          <w:color w:val="000000"/>
          <w:sz w:val="24"/>
        </w:rPr>
      </w:pPr>
      <w:r>
        <w:rPr>
          <w:rFonts w:hint="eastAsia" w:ascii="宋体" w:hAnsi="宋体"/>
          <w:color w:val="000000"/>
          <w:sz w:val="24"/>
        </w:rPr>
        <w:t>督促承建单位提交交付文书，交付文书应包括设备交付清单、相关项目文档和必要的联系信息。</w:t>
      </w:r>
    </w:p>
    <w:p>
      <w:pPr>
        <w:pStyle w:val="13"/>
        <w:numPr>
          <w:ilvl w:val="0"/>
          <w:numId w:val="39"/>
        </w:numPr>
        <w:spacing w:line="460" w:lineRule="exact"/>
        <w:rPr>
          <w:rFonts w:ascii="宋体" w:hAnsi="宋体"/>
          <w:color w:val="000000"/>
          <w:sz w:val="24"/>
        </w:rPr>
      </w:pPr>
      <w:r>
        <w:rPr>
          <w:rFonts w:hint="eastAsia" w:ascii="宋体" w:hAnsi="宋体"/>
          <w:color w:val="000000"/>
          <w:sz w:val="24"/>
        </w:rPr>
        <w:t>依据合同中的有关条款协助建设单位进行项目决算及处理相关事宜。</w:t>
      </w:r>
    </w:p>
    <w:p>
      <w:pPr>
        <w:pStyle w:val="13"/>
        <w:numPr>
          <w:ilvl w:val="0"/>
          <w:numId w:val="39"/>
        </w:numPr>
        <w:spacing w:line="460" w:lineRule="exact"/>
        <w:rPr>
          <w:rFonts w:ascii="宋体" w:hAnsi="宋体"/>
          <w:color w:val="000000"/>
          <w:sz w:val="24"/>
        </w:rPr>
      </w:pPr>
      <w:r>
        <w:rPr>
          <w:rFonts w:hint="eastAsia" w:ascii="宋体" w:hAnsi="宋体"/>
          <w:color w:val="000000"/>
          <w:sz w:val="24"/>
        </w:rPr>
        <w:t>对于中途清算的项目，监理方依据合同中的有关条款，进行责任确认、损失估算、索赔方案拟定等事宜的协商，协商成功后形成项目清算报告，并监督各方签发生效。</w:t>
      </w:r>
    </w:p>
    <w:p>
      <w:pPr>
        <w:pStyle w:val="13"/>
        <w:numPr>
          <w:ilvl w:val="0"/>
          <w:numId w:val="39"/>
        </w:numPr>
        <w:spacing w:line="460" w:lineRule="exact"/>
        <w:rPr>
          <w:rFonts w:ascii="宋体" w:hAnsi="宋体"/>
          <w:color w:val="000000"/>
          <w:sz w:val="24"/>
        </w:rPr>
      </w:pPr>
      <w:r>
        <w:rPr>
          <w:rFonts w:hint="eastAsia" w:ascii="宋体" w:hAnsi="宋体"/>
          <w:color w:val="000000"/>
          <w:sz w:val="24"/>
        </w:rPr>
        <w:t>协助项目参与各方完成项目总结并提交后续系统运行的建议。</w:t>
      </w:r>
    </w:p>
    <w:p>
      <w:pPr>
        <w:pStyle w:val="13"/>
        <w:numPr>
          <w:ilvl w:val="0"/>
          <w:numId w:val="39"/>
        </w:numPr>
        <w:spacing w:line="460" w:lineRule="exact"/>
        <w:rPr>
          <w:rFonts w:ascii="宋体" w:hAnsi="宋体"/>
          <w:color w:val="000000"/>
          <w:sz w:val="24"/>
        </w:rPr>
      </w:pPr>
      <w:r>
        <w:rPr>
          <w:rFonts w:hint="eastAsia" w:ascii="宋体" w:hAnsi="宋体"/>
          <w:color w:val="000000"/>
          <w:sz w:val="24"/>
        </w:rPr>
        <w:t>完成项目监理总结，整理完成与项目有关的全部监理文档，并交付建设单位。</w:t>
      </w:r>
    </w:p>
    <w:p>
      <w:pPr>
        <w:pStyle w:val="13"/>
        <w:spacing w:line="460" w:lineRule="exact"/>
        <w:ind w:firstLine="480" w:firstLineChars="200"/>
        <w:rPr>
          <w:rFonts w:hAnsi="宋体"/>
          <w:sz w:val="24"/>
        </w:rPr>
      </w:pPr>
      <w:bookmarkStart w:id="60" w:name="_Toc433896464"/>
    </w:p>
    <w:p>
      <w:pPr>
        <w:pStyle w:val="12"/>
        <w:rPr>
          <w:rFonts w:hAnsi="宋体"/>
          <w:sz w:val="24"/>
        </w:rPr>
      </w:pPr>
      <w:r>
        <w:rPr>
          <w:rFonts w:hint="eastAsia" w:hAnsi="宋体"/>
          <w:sz w:val="24"/>
        </w:rPr>
        <w:t>（四）质量控制</w:t>
      </w:r>
      <w:bookmarkEnd w:id="60"/>
    </w:p>
    <w:p>
      <w:pPr>
        <w:pStyle w:val="13"/>
        <w:spacing w:line="460" w:lineRule="exact"/>
        <w:ind w:firstLine="480" w:firstLineChars="200"/>
        <w:rPr>
          <w:rFonts w:ascii="宋体" w:hAnsi="宋体"/>
          <w:color w:val="000000"/>
          <w:sz w:val="24"/>
        </w:rPr>
      </w:pPr>
      <w:r>
        <w:rPr>
          <w:rFonts w:hint="eastAsia" w:ascii="宋体" w:hAnsi="宋体"/>
          <w:color w:val="000000"/>
          <w:sz w:val="24"/>
        </w:rPr>
        <w:t>1、依据有关的招标文件、投标文件、合同和设计单位制定的广州住房公积金管理中心存量数据整理合并（监理与质量检查）采购项目技术规范书，审查、监督、控制各子项目的质量；</w:t>
      </w:r>
    </w:p>
    <w:p>
      <w:pPr>
        <w:pStyle w:val="13"/>
        <w:spacing w:line="460" w:lineRule="exact"/>
        <w:ind w:firstLine="480" w:firstLineChars="200"/>
        <w:rPr>
          <w:rFonts w:ascii="宋体" w:hAnsi="宋体"/>
          <w:color w:val="000000"/>
          <w:sz w:val="24"/>
        </w:rPr>
      </w:pPr>
      <w:r>
        <w:rPr>
          <w:rFonts w:hint="eastAsia" w:ascii="宋体" w:hAnsi="宋体"/>
          <w:color w:val="000000"/>
          <w:sz w:val="24"/>
        </w:rPr>
        <w:t>2、采取事前预防、事中控制、事后纠正的监理方式，依据国家法律、法规、标准以及项目合同、设计方案、监理规划、监理实施细则等文件控制工程质量；</w:t>
      </w:r>
    </w:p>
    <w:p>
      <w:pPr>
        <w:pStyle w:val="13"/>
        <w:spacing w:line="460" w:lineRule="exact"/>
        <w:ind w:firstLine="480" w:firstLineChars="200"/>
        <w:rPr>
          <w:rFonts w:ascii="宋体" w:hAnsi="宋体"/>
          <w:color w:val="000000"/>
          <w:sz w:val="24"/>
        </w:rPr>
      </w:pPr>
      <w:r>
        <w:rPr>
          <w:rFonts w:hint="eastAsia" w:ascii="宋体" w:hAnsi="宋体"/>
          <w:color w:val="000000"/>
          <w:sz w:val="24"/>
        </w:rPr>
        <w:t>3、组织软硬件工程质量、系统集成质量事故的原因调查、问题分析、问题评估、事故处理；</w:t>
      </w:r>
    </w:p>
    <w:p>
      <w:pPr>
        <w:pStyle w:val="13"/>
        <w:spacing w:line="460" w:lineRule="exact"/>
        <w:ind w:firstLine="480" w:firstLineChars="200"/>
        <w:rPr>
          <w:rFonts w:ascii="宋体" w:hAnsi="宋体"/>
          <w:color w:val="000000"/>
          <w:sz w:val="24"/>
        </w:rPr>
      </w:pPr>
      <w:r>
        <w:rPr>
          <w:rFonts w:hint="eastAsia" w:ascii="宋体" w:hAnsi="宋体"/>
          <w:color w:val="000000"/>
          <w:sz w:val="24"/>
        </w:rPr>
        <w:t>4、参与软件开发模型、开发环境的选择工作，监控软件开发过程质量；</w:t>
      </w:r>
    </w:p>
    <w:p>
      <w:pPr>
        <w:pStyle w:val="13"/>
        <w:spacing w:line="460" w:lineRule="exact"/>
        <w:ind w:firstLine="480" w:firstLineChars="200"/>
        <w:rPr>
          <w:rFonts w:ascii="宋体" w:hAnsi="宋体"/>
          <w:color w:val="000000"/>
          <w:sz w:val="24"/>
        </w:rPr>
      </w:pPr>
      <w:r>
        <w:rPr>
          <w:rFonts w:hint="eastAsia" w:ascii="宋体" w:hAnsi="宋体"/>
          <w:color w:val="000000"/>
          <w:sz w:val="24"/>
        </w:rPr>
        <w:t>5、监督需求管理、配置管理的执行和控制情况，督促软件开发单位整改存在的问题；</w:t>
      </w:r>
    </w:p>
    <w:p>
      <w:pPr>
        <w:pStyle w:val="13"/>
        <w:spacing w:line="460" w:lineRule="exact"/>
        <w:ind w:firstLine="480" w:firstLineChars="200"/>
        <w:rPr>
          <w:rFonts w:ascii="宋体" w:hAnsi="宋体"/>
          <w:color w:val="000000"/>
          <w:sz w:val="24"/>
        </w:rPr>
      </w:pPr>
      <w:r>
        <w:rPr>
          <w:rFonts w:hint="eastAsia" w:ascii="宋体" w:hAnsi="宋体"/>
          <w:color w:val="000000"/>
          <w:sz w:val="24"/>
        </w:rPr>
        <w:t>6、参与软件开发与集成工作的测试、集成、竣工验收和交接；</w:t>
      </w:r>
    </w:p>
    <w:p>
      <w:pPr>
        <w:pStyle w:val="13"/>
        <w:spacing w:line="460" w:lineRule="exact"/>
        <w:ind w:firstLine="480" w:firstLineChars="200"/>
        <w:rPr>
          <w:rFonts w:ascii="宋体" w:hAnsi="宋体"/>
          <w:color w:val="000000"/>
          <w:sz w:val="24"/>
        </w:rPr>
      </w:pPr>
      <w:r>
        <w:rPr>
          <w:rFonts w:hint="eastAsia" w:ascii="宋体" w:hAnsi="宋体"/>
          <w:color w:val="000000"/>
          <w:sz w:val="24"/>
        </w:rPr>
        <w:t>7、跟踪各子项目在质保期内的运行状况，督促承建单位做好售后服务。</w:t>
      </w:r>
    </w:p>
    <w:p>
      <w:pPr>
        <w:pStyle w:val="13"/>
        <w:spacing w:line="460" w:lineRule="exact"/>
        <w:ind w:firstLine="480" w:firstLineChars="200"/>
        <w:rPr>
          <w:rFonts w:hAnsi="宋体"/>
          <w:sz w:val="24"/>
        </w:rPr>
      </w:pPr>
      <w:bookmarkStart w:id="61" w:name="_Toc433896465"/>
    </w:p>
    <w:p>
      <w:pPr>
        <w:pStyle w:val="12"/>
        <w:rPr>
          <w:rFonts w:hAnsi="宋体"/>
          <w:sz w:val="24"/>
        </w:rPr>
      </w:pPr>
      <w:r>
        <w:rPr>
          <w:rFonts w:hint="eastAsia" w:hAnsi="宋体"/>
          <w:sz w:val="24"/>
        </w:rPr>
        <w:t>（五）进度控制</w:t>
      </w:r>
      <w:bookmarkEnd w:id="61"/>
    </w:p>
    <w:p>
      <w:pPr>
        <w:pStyle w:val="13"/>
        <w:spacing w:line="460" w:lineRule="exact"/>
        <w:ind w:firstLine="480" w:firstLineChars="200"/>
        <w:rPr>
          <w:rFonts w:ascii="宋体" w:hAnsi="宋体"/>
          <w:color w:val="000000"/>
          <w:sz w:val="24"/>
        </w:rPr>
      </w:pPr>
      <w:r>
        <w:rPr>
          <w:rFonts w:hint="eastAsia" w:ascii="宋体" w:hAnsi="宋体"/>
          <w:color w:val="000000"/>
          <w:sz w:val="24"/>
        </w:rPr>
        <w:t>1、根据工程建设的要求审核承建单位的进度计划，审核项目实施进度的合理性、有效性和机动性，并对进度计划进行实时跟踪和动态监控；</w:t>
      </w:r>
    </w:p>
    <w:p>
      <w:pPr>
        <w:pStyle w:val="13"/>
        <w:spacing w:line="460" w:lineRule="exact"/>
        <w:ind w:firstLine="480" w:firstLineChars="200"/>
        <w:rPr>
          <w:rFonts w:ascii="宋体" w:hAnsi="宋体"/>
          <w:color w:val="000000"/>
          <w:sz w:val="24"/>
        </w:rPr>
      </w:pPr>
      <w:r>
        <w:rPr>
          <w:rFonts w:hint="eastAsia" w:ascii="宋体" w:hAnsi="宋体"/>
          <w:color w:val="000000"/>
          <w:sz w:val="24"/>
        </w:rPr>
        <w:t>2、监督检查项目进度执行情况，对项目实施进度进行实时跟踪，并要求承建单位对进度计划进行动态调整，以确保完成项目的进度目标；</w:t>
      </w:r>
    </w:p>
    <w:p>
      <w:pPr>
        <w:pStyle w:val="13"/>
        <w:spacing w:line="460" w:lineRule="exact"/>
        <w:ind w:firstLine="480" w:firstLineChars="200"/>
        <w:rPr>
          <w:rFonts w:ascii="宋体" w:hAnsi="宋体"/>
          <w:color w:val="000000"/>
          <w:sz w:val="24"/>
        </w:rPr>
      </w:pPr>
      <w:r>
        <w:rPr>
          <w:rFonts w:hint="eastAsia" w:ascii="宋体" w:hAnsi="宋体"/>
          <w:color w:val="000000"/>
          <w:sz w:val="24"/>
        </w:rPr>
        <w:t>3、发现项目进度未能按计划进行时，要求承建单位调整或修改计划，采取必要措施加快进度，以使项目进度符合合同的要求；当工期严重偏离计划时，应及时指出，并提出对策建议，同时督促承建单位尽快采取措施；</w:t>
      </w:r>
    </w:p>
    <w:p>
      <w:pPr>
        <w:pStyle w:val="13"/>
        <w:spacing w:line="460" w:lineRule="exact"/>
        <w:ind w:firstLine="480" w:firstLineChars="200"/>
        <w:rPr>
          <w:rFonts w:ascii="宋体" w:hAnsi="宋体"/>
          <w:color w:val="000000"/>
          <w:sz w:val="24"/>
        </w:rPr>
      </w:pPr>
      <w:r>
        <w:rPr>
          <w:rFonts w:hint="eastAsia" w:ascii="宋体" w:hAnsi="宋体"/>
          <w:color w:val="000000"/>
          <w:sz w:val="24"/>
        </w:rPr>
        <w:t>4、采用先进的项目管理工具，如：WBS，甘特图等，确定各项目建设顺序，控制项目实施进度。</w:t>
      </w:r>
    </w:p>
    <w:p>
      <w:pPr>
        <w:pStyle w:val="13"/>
        <w:spacing w:line="460" w:lineRule="exact"/>
        <w:ind w:firstLine="480" w:firstLineChars="200"/>
        <w:rPr>
          <w:rFonts w:ascii="宋体" w:hAnsi="宋体"/>
          <w:color w:val="000000"/>
          <w:sz w:val="24"/>
        </w:rPr>
      </w:pPr>
    </w:p>
    <w:p>
      <w:pPr>
        <w:pStyle w:val="12"/>
        <w:rPr>
          <w:rFonts w:hAnsi="宋体"/>
          <w:sz w:val="24"/>
        </w:rPr>
      </w:pPr>
      <w:bookmarkStart w:id="62" w:name="_Toc433577685"/>
      <w:bookmarkEnd w:id="62"/>
      <w:bookmarkStart w:id="63" w:name="_Toc433577683"/>
      <w:bookmarkEnd w:id="63"/>
      <w:bookmarkStart w:id="64" w:name="_Toc433577682"/>
      <w:bookmarkEnd w:id="64"/>
      <w:bookmarkStart w:id="65" w:name="_Toc433577684"/>
      <w:bookmarkEnd w:id="65"/>
      <w:bookmarkStart w:id="66" w:name="_Toc433896466"/>
      <w:r>
        <w:rPr>
          <w:rFonts w:hint="eastAsia" w:hAnsi="宋体"/>
          <w:sz w:val="24"/>
        </w:rPr>
        <w:t>（六）投资控制</w:t>
      </w:r>
      <w:bookmarkEnd w:id="66"/>
    </w:p>
    <w:p>
      <w:pPr>
        <w:pStyle w:val="13"/>
        <w:spacing w:line="460" w:lineRule="exact"/>
        <w:ind w:firstLine="480" w:firstLineChars="200"/>
        <w:rPr>
          <w:rFonts w:ascii="宋体" w:hAnsi="宋体"/>
          <w:color w:val="000000"/>
          <w:sz w:val="24"/>
        </w:rPr>
      </w:pPr>
      <w:r>
        <w:rPr>
          <w:rFonts w:hint="eastAsia" w:ascii="宋体" w:hAnsi="宋体"/>
          <w:color w:val="000000"/>
          <w:sz w:val="24"/>
        </w:rPr>
        <w:t>投资控制贯穿于可行性研究、设计、实施、验收、投入使用以及系统运行维护等阶段，投资控制不能脱离技术管理和进度管理独立存在，相反要在成本、技术、进度三者之间做综合平衡。及时、准确的成本、进度和技术跟踪报告，是项目经费管理和成本控制的依据。</w:t>
      </w:r>
    </w:p>
    <w:p>
      <w:pPr>
        <w:pStyle w:val="13"/>
        <w:spacing w:line="460" w:lineRule="exact"/>
        <w:ind w:firstLine="480" w:firstLineChars="200"/>
        <w:rPr>
          <w:rFonts w:ascii="宋体" w:hAnsi="宋体"/>
          <w:color w:val="000000"/>
          <w:sz w:val="24"/>
        </w:rPr>
      </w:pPr>
      <w:r>
        <w:rPr>
          <w:rFonts w:hint="eastAsia" w:ascii="宋体" w:hAnsi="宋体"/>
          <w:color w:val="000000"/>
          <w:sz w:val="24"/>
        </w:rPr>
        <w:t>1、动态管理、跟踪项目费用，进行费用控制和分析；</w:t>
      </w:r>
    </w:p>
    <w:p>
      <w:pPr>
        <w:pStyle w:val="13"/>
        <w:spacing w:line="460" w:lineRule="exact"/>
        <w:ind w:firstLine="480" w:firstLineChars="200"/>
        <w:rPr>
          <w:rFonts w:ascii="宋体" w:hAnsi="宋体"/>
          <w:color w:val="000000"/>
          <w:sz w:val="24"/>
        </w:rPr>
      </w:pPr>
      <w:r>
        <w:rPr>
          <w:rFonts w:hint="eastAsia" w:ascii="宋体" w:hAnsi="宋体"/>
          <w:color w:val="000000"/>
          <w:sz w:val="24"/>
        </w:rPr>
        <w:t>2、审查项目进度款申报；</w:t>
      </w:r>
    </w:p>
    <w:p>
      <w:pPr>
        <w:pStyle w:val="13"/>
        <w:spacing w:line="460" w:lineRule="exact"/>
        <w:ind w:firstLine="480" w:firstLineChars="200"/>
        <w:rPr>
          <w:rFonts w:ascii="宋体" w:hAnsi="宋体"/>
          <w:color w:val="000000"/>
          <w:sz w:val="24"/>
        </w:rPr>
      </w:pPr>
      <w:r>
        <w:rPr>
          <w:rFonts w:hint="eastAsia" w:ascii="宋体" w:hAnsi="宋体"/>
          <w:color w:val="000000"/>
          <w:sz w:val="24"/>
        </w:rPr>
        <w:t>3、严格控制和审查需求变更，核算成本和变化量，报建设单位审批；</w:t>
      </w:r>
    </w:p>
    <w:p>
      <w:pPr>
        <w:pStyle w:val="13"/>
        <w:spacing w:line="460" w:lineRule="exact"/>
        <w:ind w:firstLine="480" w:firstLineChars="200"/>
        <w:rPr>
          <w:rFonts w:ascii="宋体" w:hAnsi="宋体"/>
          <w:color w:val="000000"/>
          <w:sz w:val="24"/>
        </w:rPr>
      </w:pPr>
      <w:r>
        <w:rPr>
          <w:rFonts w:hint="eastAsia" w:ascii="宋体" w:hAnsi="宋体"/>
          <w:color w:val="000000"/>
          <w:sz w:val="24"/>
        </w:rPr>
        <w:t>4、审核承建单位的工程量清单和工程竣工结算；</w:t>
      </w:r>
    </w:p>
    <w:p>
      <w:pPr>
        <w:pStyle w:val="13"/>
        <w:spacing w:line="460" w:lineRule="exact"/>
        <w:ind w:firstLine="480" w:firstLineChars="200"/>
        <w:rPr>
          <w:rFonts w:ascii="宋体" w:hAnsi="宋体"/>
          <w:color w:val="000000"/>
          <w:sz w:val="24"/>
        </w:rPr>
      </w:pPr>
      <w:r>
        <w:rPr>
          <w:rFonts w:hint="eastAsia" w:ascii="宋体" w:hAnsi="宋体"/>
          <w:color w:val="000000"/>
          <w:sz w:val="24"/>
        </w:rPr>
        <w:t>5、通过对实施过程的监督，确保投资控制在预算之内；</w:t>
      </w:r>
    </w:p>
    <w:p>
      <w:pPr>
        <w:pStyle w:val="13"/>
        <w:spacing w:line="460" w:lineRule="exact"/>
        <w:ind w:firstLine="480" w:firstLineChars="200"/>
        <w:rPr>
          <w:rFonts w:ascii="宋体" w:hAnsi="宋体"/>
          <w:color w:val="000000"/>
          <w:sz w:val="24"/>
        </w:rPr>
      </w:pPr>
      <w:r>
        <w:rPr>
          <w:rFonts w:hint="eastAsia" w:ascii="宋体" w:hAnsi="宋体"/>
          <w:color w:val="000000"/>
          <w:sz w:val="24"/>
        </w:rPr>
        <w:t>6、当发现资金使用严重偏离计划时，应及时指出，并提出对策建议，同时督促承建单位尽快采取措施。</w:t>
      </w:r>
    </w:p>
    <w:p>
      <w:pPr>
        <w:pStyle w:val="12"/>
        <w:rPr>
          <w:rFonts w:hAnsi="宋体"/>
          <w:sz w:val="24"/>
        </w:rPr>
      </w:pPr>
      <w:bookmarkStart w:id="67" w:name="_Toc433896468"/>
      <w:r>
        <w:rPr>
          <w:rFonts w:hint="eastAsia" w:hAnsi="宋体"/>
          <w:sz w:val="24"/>
        </w:rPr>
        <w:t>（七）信息管理</w:t>
      </w:r>
      <w:bookmarkEnd w:id="67"/>
    </w:p>
    <w:p>
      <w:pPr>
        <w:pStyle w:val="13"/>
        <w:spacing w:line="460" w:lineRule="exact"/>
        <w:ind w:firstLine="480" w:firstLineChars="200"/>
        <w:rPr>
          <w:rFonts w:ascii="宋体" w:hAnsi="宋体"/>
          <w:color w:val="000000"/>
          <w:sz w:val="24"/>
        </w:rPr>
      </w:pPr>
      <w:r>
        <w:rPr>
          <w:rFonts w:hint="eastAsia" w:ascii="宋体" w:hAnsi="宋体"/>
          <w:color w:val="000000"/>
          <w:sz w:val="24"/>
        </w:rPr>
        <w:t xml:space="preserve">本项目建设过程中，会产生大量的文档资料，包括各类设计施工文件、监理工作文件、会议记录、总结报告等，这些文件资料是进行项目管理、合同管理、项目维护、向上级汇报工作的依据，有些还涉及知识产权问题，监理单位务必做好对文档资料的管理工作，在工程各阶段产生上述关键文档均需按程序归档，需归档的文件清单、责任人和归档时间在监理业务流程必须有明确规定，主要工作包括： </w:t>
      </w:r>
    </w:p>
    <w:p>
      <w:pPr>
        <w:pStyle w:val="13"/>
        <w:spacing w:line="460" w:lineRule="exact"/>
        <w:ind w:firstLine="480" w:firstLineChars="200"/>
        <w:rPr>
          <w:rFonts w:ascii="宋体" w:hAnsi="宋体"/>
          <w:color w:val="000000"/>
          <w:sz w:val="24"/>
        </w:rPr>
      </w:pPr>
      <w:r>
        <w:rPr>
          <w:rFonts w:hint="eastAsia" w:ascii="宋体" w:hAnsi="宋体"/>
          <w:color w:val="000000"/>
          <w:sz w:val="24"/>
        </w:rPr>
        <w:t>1、及时向建设单位提交反映项目的动态信息和监理工作情况的项目文档；</w:t>
      </w:r>
    </w:p>
    <w:p>
      <w:pPr>
        <w:pStyle w:val="13"/>
        <w:spacing w:line="460" w:lineRule="exact"/>
        <w:ind w:firstLine="480" w:firstLineChars="200"/>
        <w:rPr>
          <w:rFonts w:ascii="宋体" w:hAnsi="宋体"/>
          <w:color w:val="000000"/>
          <w:sz w:val="24"/>
        </w:rPr>
      </w:pPr>
      <w:r>
        <w:rPr>
          <w:rFonts w:hint="eastAsia" w:ascii="宋体" w:hAnsi="宋体"/>
          <w:color w:val="000000"/>
          <w:sz w:val="24"/>
        </w:rPr>
        <w:t>2、建立全面、准确反映项目各阶段状况的图表、文档，收集、管理项目各类文档和资料；</w:t>
      </w:r>
    </w:p>
    <w:p>
      <w:pPr>
        <w:pStyle w:val="13"/>
        <w:spacing w:line="460" w:lineRule="exact"/>
        <w:ind w:firstLine="480" w:firstLineChars="200"/>
        <w:rPr>
          <w:rFonts w:ascii="宋体" w:hAnsi="宋体"/>
          <w:color w:val="000000"/>
          <w:sz w:val="24"/>
        </w:rPr>
      </w:pPr>
      <w:r>
        <w:rPr>
          <w:rFonts w:hint="eastAsia" w:ascii="宋体" w:hAnsi="宋体"/>
          <w:color w:val="000000"/>
          <w:sz w:val="24"/>
        </w:rPr>
        <w:t>3、督促、检查承建单位及时完成各阶段设计文档、代码、会议纪要、变更单、问题跟踪单等资料的整理和归档工作；</w:t>
      </w:r>
    </w:p>
    <w:p>
      <w:pPr>
        <w:pStyle w:val="13"/>
        <w:spacing w:line="460" w:lineRule="exact"/>
        <w:ind w:firstLine="480" w:firstLineChars="200"/>
        <w:rPr>
          <w:rFonts w:ascii="宋体" w:hAnsi="宋体"/>
          <w:color w:val="000000"/>
          <w:sz w:val="24"/>
        </w:rPr>
      </w:pPr>
      <w:r>
        <w:rPr>
          <w:rFonts w:hint="eastAsia" w:ascii="宋体" w:hAnsi="宋体"/>
          <w:color w:val="000000"/>
          <w:sz w:val="24"/>
        </w:rPr>
        <w:t>4、审查承建单位的设计文档、变更单、问题跟踪单，审查承建单位与建设单位之间的业务联系单、备忘录、电子邮件、传真、电话记录等，并加具意见；</w:t>
      </w:r>
    </w:p>
    <w:p>
      <w:pPr>
        <w:pStyle w:val="13"/>
        <w:spacing w:line="460" w:lineRule="exact"/>
        <w:ind w:firstLine="480" w:firstLineChars="200"/>
        <w:rPr>
          <w:rFonts w:ascii="宋体" w:hAnsi="宋体"/>
          <w:color w:val="000000"/>
          <w:sz w:val="24"/>
        </w:rPr>
      </w:pPr>
      <w:r>
        <w:rPr>
          <w:rFonts w:hint="eastAsia" w:ascii="宋体" w:hAnsi="宋体"/>
          <w:color w:val="000000"/>
          <w:sz w:val="24"/>
        </w:rPr>
        <w:t>5、采用图表、统计技术或其他先进的管理方法，定期公布项目质量、进度、成本数据，就项目中存在或出现的问题向建设单位、承建单位、设计单位提出独立、公正、公平的意见建议或解决方案；</w:t>
      </w:r>
    </w:p>
    <w:p>
      <w:pPr>
        <w:pStyle w:val="13"/>
        <w:spacing w:line="460" w:lineRule="exact"/>
        <w:ind w:firstLine="480" w:firstLineChars="200"/>
        <w:rPr>
          <w:rFonts w:ascii="宋体" w:hAnsi="宋体"/>
          <w:color w:val="000000"/>
          <w:sz w:val="24"/>
        </w:rPr>
      </w:pPr>
    </w:p>
    <w:p>
      <w:pPr>
        <w:pStyle w:val="12"/>
        <w:rPr>
          <w:rFonts w:hAnsi="宋体"/>
          <w:sz w:val="24"/>
        </w:rPr>
      </w:pPr>
      <w:bookmarkStart w:id="68" w:name="_Toc433577689"/>
      <w:bookmarkEnd w:id="68"/>
      <w:bookmarkStart w:id="69" w:name="_Toc433896469"/>
      <w:r>
        <w:rPr>
          <w:rFonts w:hint="eastAsia" w:hAnsi="宋体"/>
          <w:sz w:val="24"/>
        </w:rPr>
        <w:t>（八）组织协调</w:t>
      </w:r>
      <w:bookmarkEnd w:id="69"/>
    </w:p>
    <w:p>
      <w:pPr>
        <w:pStyle w:val="13"/>
        <w:spacing w:line="460" w:lineRule="exact"/>
        <w:ind w:firstLine="480" w:firstLineChars="200"/>
        <w:rPr>
          <w:rFonts w:ascii="宋体" w:hAnsi="宋体"/>
          <w:color w:val="000000"/>
          <w:sz w:val="24"/>
        </w:rPr>
      </w:pPr>
      <w:r>
        <w:rPr>
          <w:rFonts w:hint="eastAsia" w:ascii="宋体" w:hAnsi="宋体"/>
          <w:color w:val="000000"/>
          <w:sz w:val="24"/>
        </w:rPr>
        <w:t>1、监督项目各方履行职责，协调各方的工作关系；</w:t>
      </w:r>
    </w:p>
    <w:p>
      <w:pPr>
        <w:pStyle w:val="13"/>
        <w:spacing w:line="460" w:lineRule="exact"/>
        <w:ind w:firstLine="480" w:firstLineChars="200"/>
        <w:rPr>
          <w:rFonts w:ascii="宋体" w:hAnsi="宋体"/>
          <w:color w:val="000000"/>
          <w:sz w:val="24"/>
        </w:rPr>
      </w:pPr>
      <w:r>
        <w:rPr>
          <w:rFonts w:hint="eastAsia" w:ascii="宋体" w:hAnsi="宋体"/>
          <w:color w:val="000000"/>
          <w:sz w:val="24"/>
        </w:rPr>
        <w:t>2、建立畅通的沟通平台和沟通渠道，采取有效措施使项目信息在有关各方之间保持顺畅流通，积极协调项目各方之间的关系，推动项目实施过程中问题的解决。</w:t>
      </w:r>
    </w:p>
    <w:p>
      <w:pPr>
        <w:pStyle w:val="13"/>
        <w:spacing w:line="460" w:lineRule="exact"/>
        <w:ind w:firstLine="480" w:firstLineChars="200"/>
        <w:rPr>
          <w:rFonts w:ascii="宋体" w:hAnsi="宋体"/>
          <w:color w:val="000000"/>
          <w:sz w:val="24"/>
        </w:rPr>
      </w:pPr>
    </w:p>
    <w:p>
      <w:pPr>
        <w:pStyle w:val="12"/>
        <w:rPr>
          <w:rFonts w:hAnsi="宋体"/>
          <w:sz w:val="24"/>
        </w:rPr>
      </w:pPr>
      <w:bookmarkStart w:id="70" w:name="_Toc433896470"/>
      <w:r>
        <w:rPr>
          <w:rFonts w:hint="eastAsia" w:hAnsi="宋体"/>
          <w:sz w:val="24"/>
        </w:rPr>
        <w:t>（九）信息安全管理</w:t>
      </w:r>
      <w:bookmarkEnd w:id="70"/>
    </w:p>
    <w:p>
      <w:pPr>
        <w:pStyle w:val="13"/>
        <w:spacing w:line="460" w:lineRule="exact"/>
        <w:ind w:firstLine="480" w:firstLineChars="200"/>
        <w:rPr>
          <w:rFonts w:ascii="宋体" w:hAnsi="宋体"/>
          <w:color w:val="000000"/>
          <w:sz w:val="24"/>
        </w:rPr>
      </w:pPr>
      <w:r>
        <w:rPr>
          <w:rFonts w:hint="eastAsia" w:ascii="宋体" w:hAnsi="宋体"/>
          <w:color w:val="000000"/>
          <w:sz w:val="24"/>
        </w:rPr>
        <w:t>1、督促承建单位建立完善的信息安全管理制度，数据备份制度；</w:t>
      </w:r>
    </w:p>
    <w:p>
      <w:pPr>
        <w:pStyle w:val="13"/>
        <w:spacing w:line="460" w:lineRule="exact"/>
        <w:ind w:firstLine="480" w:firstLineChars="200"/>
        <w:rPr>
          <w:rFonts w:ascii="宋体" w:hAnsi="宋体"/>
          <w:color w:val="000000"/>
          <w:sz w:val="24"/>
        </w:rPr>
      </w:pPr>
      <w:r>
        <w:rPr>
          <w:rFonts w:hint="eastAsia" w:ascii="宋体" w:hAnsi="宋体"/>
          <w:color w:val="000000"/>
          <w:sz w:val="24"/>
        </w:rPr>
        <w:t>2、组织信息安全事故的调查与处理；</w:t>
      </w:r>
    </w:p>
    <w:p>
      <w:pPr>
        <w:pStyle w:val="13"/>
        <w:spacing w:line="460" w:lineRule="exact"/>
        <w:ind w:firstLine="480" w:firstLineChars="200"/>
        <w:rPr>
          <w:rFonts w:ascii="宋体" w:hAnsi="宋体"/>
          <w:color w:val="000000"/>
          <w:sz w:val="24"/>
        </w:rPr>
      </w:pPr>
      <w:r>
        <w:rPr>
          <w:rFonts w:hint="eastAsia" w:ascii="宋体" w:hAnsi="宋体"/>
          <w:color w:val="000000"/>
          <w:sz w:val="24"/>
        </w:rPr>
        <w:t>3、建立软件开发与系统集成的信息安全管理工作目标和管理流程；</w:t>
      </w:r>
    </w:p>
    <w:p>
      <w:pPr>
        <w:pStyle w:val="13"/>
        <w:spacing w:line="460" w:lineRule="exact"/>
        <w:ind w:firstLine="480" w:firstLineChars="200"/>
        <w:rPr>
          <w:rFonts w:ascii="宋体" w:hAnsi="宋体"/>
          <w:color w:val="000000"/>
          <w:sz w:val="24"/>
        </w:rPr>
      </w:pPr>
      <w:r>
        <w:rPr>
          <w:rFonts w:hint="eastAsia" w:ascii="宋体" w:hAnsi="宋体"/>
          <w:color w:val="000000"/>
          <w:sz w:val="24"/>
        </w:rPr>
        <w:t>4、运用ISO27001标准，提高项目整体的信息安全水平。</w:t>
      </w:r>
    </w:p>
    <w:p>
      <w:pPr>
        <w:pStyle w:val="13"/>
        <w:spacing w:line="460" w:lineRule="exact"/>
        <w:ind w:firstLine="480" w:firstLineChars="200"/>
        <w:rPr>
          <w:rFonts w:ascii="宋体" w:hAnsi="宋体"/>
          <w:color w:val="000000"/>
          <w:sz w:val="24"/>
        </w:rPr>
      </w:pPr>
    </w:p>
    <w:p>
      <w:pPr>
        <w:pStyle w:val="12"/>
        <w:rPr>
          <w:rFonts w:hAnsi="宋体"/>
          <w:sz w:val="24"/>
        </w:rPr>
      </w:pPr>
      <w:bookmarkStart w:id="71" w:name="_Toc433896471"/>
      <w:r>
        <w:rPr>
          <w:rFonts w:hint="eastAsia" w:hAnsi="宋体"/>
          <w:sz w:val="24"/>
        </w:rPr>
        <w:t>（十）项目文档管理</w:t>
      </w:r>
      <w:bookmarkEnd w:id="71"/>
      <w:bookmarkStart w:id="72" w:name="_Toc433577692"/>
      <w:bookmarkEnd w:id="72"/>
    </w:p>
    <w:p>
      <w:pPr>
        <w:pStyle w:val="13"/>
        <w:spacing w:line="460" w:lineRule="exact"/>
        <w:ind w:firstLine="480" w:firstLineChars="200"/>
        <w:rPr>
          <w:rFonts w:ascii="宋体" w:hAnsi="宋体"/>
          <w:color w:val="000000"/>
          <w:sz w:val="24"/>
        </w:rPr>
      </w:pPr>
      <w:r>
        <w:rPr>
          <w:rFonts w:hint="eastAsia" w:ascii="宋体" w:hAnsi="宋体"/>
          <w:color w:val="000000"/>
          <w:sz w:val="24"/>
        </w:rPr>
        <w:t>1、督促检查承建单位及时完成各阶段设计文档、程序代码、测试记录、变更记录、问题跟踪处理记录等文件的归档工作，按归档要求进行分类整理归档，按时完成竣工资料（包括监理工作方面的归档资料）验收，确保软件工程中各类文件传送的规范化、制度化，监理类文书资料管理的科学化、规范化。</w:t>
      </w:r>
      <w:bookmarkStart w:id="73" w:name="_Toc433577693"/>
      <w:bookmarkEnd w:id="73"/>
    </w:p>
    <w:p>
      <w:pPr>
        <w:pStyle w:val="13"/>
        <w:spacing w:line="460" w:lineRule="exact"/>
        <w:ind w:firstLine="480" w:firstLineChars="200"/>
        <w:rPr>
          <w:rFonts w:ascii="宋体" w:hAnsi="宋体"/>
          <w:color w:val="000000"/>
          <w:sz w:val="24"/>
        </w:rPr>
      </w:pPr>
      <w:r>
        <w:rPr>
          <w:rFonts w:hint="eastAsia" w:ascii="宋体" w:hAnsi="宋体"/>
          <w:color w:val="000000"/>
          <w:sz w:val="24"/>
        </w:rPr>
        <w:t>2、监理方的文档管理人员，负责收集、管理监理工作各类文书资料，对监理工作文档、收发文签收登记等进行管理。</w:t>
      </w:r>
      <w:bookmarkStart w:id="74" w:name="_Toc433577694"/>
      <w:bookmarkEnd w:id="74"/>
    </w:p>
    <w:p>
      <w:pPr>
        <w:pStyle w:val="13"/>
        <w:spacing w:line="460" w:lineRule="exact"/>
        <w:ind w:firstLine="480" w:firstLineChars="200"/>
        <w:rPr>
          <w:rFonts w:ascii="宋体" w:hAnsi="宋体"/>
          <w:color w:val="000000"/>
          <w:sz w:val="24"/>
        </w:rPr>
      </w:pPr>
    </w:p>
    <w:p>
      <w:pPr>
        <w:pStyle w:val="12"/>
        <w:rPr>
          <w:rFonts w:hAnsi="宋体"/>
          <w:sz w:val="24"/>
        </w:rPr>
      </w:pPr>
      <w:bookmarkStart w:id="75" w:name="_Toc433362312"/>
      <w:bookmarkEnd w:id="75"/>
      <w:bookmarkStart w:id="76" w:name="_Toc433362761"/>
      <w:bookmarkEnd w:id="76"/>
      <w:bookmarkStart w:id="77" w:name="_Toc433363335"/>
      <w:bookmarkEnd w:id="77"/>
      <w:r>
        <w:rPr>
          <w:rFonts w:hint="eastAsia" w:hAnsi="宋体"/>
          <w:sz w:val="24"/>
        </w:rPr>
        <w:t>（十一）项目监理测试要求</w:t>
      </w:r>
    </w:p>
    <w:p>
      <w:pPr>
        <w:pStyle w:val="13"/>
        <w:spacing w:line="360" w:lineRule="auto"/>
        <w:ind w:firstLine="480" w:firstLineChars="200"/>
        <w:rPr>
          <w:rFonts w:ascii="宋体" w:hAnsi="宋体"/>
          <w:color w:val="000000"/>
          <w:sz w:val="24"/>
        </w:rPr>
      </w:pPr>
      <w:r>
        <w:rPr>
          <w:rFonts w:hint="eastAsia" w:ascii="宋体" w:hAnsi="宋体"/>
          <w:color w:val="000000"/>
          <w:sz w:val="24"/>
        </w:rPr>
        <w:t>本项目建设是综合性信息系统工程，为了保障系统建设质量，本项目监理要求在完成常规的项目监理工作时，加强监理测试工作，尤其要加强</w:t>
      </w:r>
      <w:r>
        <w:rPr>
          <w:rFonts w:hint="eastAsia" w:ascii="宋体" w:hAnsi="宋体" w:cs="仿宋"/>
          <w:bCs/>
          <w:color w:val="000000"/>
          <w:sz w:val="24"/>
        </w:rPr>
        <w:t>开发接口软件</w:t>
      </w:r>
      <w:r>
        <w:rPr>
          <w:rFonts w:hint="eastAsia" w:ascii="宋体" w:hAnsi="宋体"/>
          <w:color w:val="000000"/>
          <w:sz w:val="24"/>
        </w:rPr>
        <w:t>应用系统性能监控测试。要求投标方提供完整的测试方案，并响应相应的技术指标。</w:t>
      </w:r>
    </w:p>
    <w:p>
      <w:pPr>
        <w:pStyle w:val="13"/>
        <w:spacing w:line="360" w:lineRule="auto"/>
        <w:ind w:firstLine="480" w:firstLineChars="200"/>
        <w:rPr>
          <w:rFonts w:ascii="宋体" w:hAnsi="宋体" w:cs="宋体"/>
          <w:color w:val="000000"/>
          <w:sz w:val="24"/>
        </w:rPr>
      </w:pPr>
      <w:r>
        <w:rPr>
          <w:rFonts w:hint="eastAsia" w:ascii="宋体" w:hAnsi="宋体" w:cs="宋体"/>
          <w:color w:val="000000"/>
          <w:sz w:val="24"/>
        </w:rPr>
        <w:t>为保障系统用户稳定、顺畅的使用效果</w:t>
      </w:r>
      <w:r>
        <w:rPr>
          <w:rFonts w:hint="eastAsia" w:ascii="宋体" w:hAnsi="宋体"/>
          <w:color w:val="000000"/>
          <w:sz w:val="24"/>
        </w:rPr>
        <w:t>，对项目涉及档案电子化整理、档案开发接口</w:t>
      </w:r>
      <w:r>
        <w:rPr>
          <w:rFonts w:hint="eastAsia" w:ascii="宋体" w:hAnsi="宋体" w:cs="仿宋"/>
          <w:bCs/>
          <w:color w:val="000000"/>
          <w:sz w:val="24"/>
        </w:rPr>
        <w:t>软件</w:t>
      </w:r>
      <w:r>
        <w:rPr>
          <w:rFonts w:hint="eastAsia" w:ascii="宋体" w:hAnsi="宋体" w:cs="宋体"/>
          <w:color w:val="000000"/>
          <w:sz w:val="24"/>
        </w:rPr>
        <w:t>、</w:t>
      </w:r>
      <w:r>
        <w:rPr>
          <w:rFonts w:hint="eastAsia" w:ascii="宋体" w:hAnsi="宋体"/>
          <w:color w:val="000000"/>
          <w:sz w:val="24"/>
        </w:rPr>
        <w:t>档案</w:t>
      </w:r>
      <w:r>
        <w:rPr>
          <w:rFonts w:hint="eastAsia" w:ascii="宋体" w:hAnsi="宋体" w:cs="仿宋"/>
          <w:bCs/>
          <w:color w:val="000000"/>
          <w:sz w:val="24"/>
        </w:rPr>
        <w:t>数据整理、数据与公积金新系统对接，</w:t>
      </w:r>
      <w:r>
        <w:rPr>
          <w:rFonts w:hint="eastAsia" w:ascii="宋体" w:hAnsi="宋体" w:cs="宋体"/>
          <w:color w:val="000000"/>
          <w:sz w:val="24"/>
        </w:rPr>
        <w:t>在系统试运行期间需要提供</w:t>
      </w:r>
      <w:r>
        <w:rPr>
          <w:rFonts w:hint="eastAsia" w:ascii="宋体" w:hAnsi="宋体"/>
          <w:color w:val="000000"/>
          <w:sz w:val="24"/>
        </w:rPr>
        <w:t>信息网络系统测试、信息应用系统测试、信息应用</w:t>
      </w:r>
      <w:r>
        <w:rPr>
          <w:rFonts w:hint="eastAsia" w:ascii="宋体" w:hAnsi="宋体" w:cs="宋体"/>
          <w:color w:val="000000"/>
          <w:sz w:val="24"/>
        </w:rPr>
        <w:t>服务性能管理检测，针对系统的可用性、执行效率，运行风险进行检测。通过智能技术手段对平台的运行性能和健康状况进行实时、有效的监控，实现从用户端到后端应用、数据库的性能监控及分析，对应用整体健康状况进行可视化监控，发生故障能自动告警，并可智能分析故障的原因，并可深入到网络数据包及程序代码，找到问题根源，为提高和优化业务系统的性能提供有力技术手段，缩短故障排查和解决的时间，提高故障解决的效率。</w:t>
      </w:r>
    </w:p>
    <w:p>
      <w:pPr>
        <w:pStyle w:val="13"/>
        <w:spacing w:line="360" w:lineRule="auto"/>
        <w:ind w:firstLine="480" w:firstLineChars="200"/>
        <w:rPr>
          <w:rFonts w:ascii="宋体" w:hAnsi="宋体" w:cs="宋体"/>
          <w:color w:val="000000"/>
          <w:sz w:val="24"/>
        </w:rPr>
      </w:pPr>
      <w:r>
        <w:rPr>
          <w:rFonts w:hint="eastAsia" w:ascii="宋体" w:hAnsi="宋体" w:cs="宋体"/>
          <w:color w:val="000000"/>
          <w:sz w:val="24"/>
        </w:rPr>
        <w:t>通过系统性能监控及故障诊断工具，满足以下但不仅限于以下功能：</w:t>
      </w:r>
    </w:p>
    <w:p>
      <w:pPr>
        <w:pStyle w:val="13"/>
        <w:spacing w:line="360" w:lineRule="auto"/>
        <w:ind w:firstLine="480" w:firstLineChars="200"/>
        <w:rPr>
          <w:rFonts w:ascii="宋体" w:hAnsi="宋体" w:cs="宋体"/>
          <w:color w:val="000000"/>
          <w:sz w:val="24"/>
        </w:rPr>
      </w:pPr>
      <w:r>
        <w:rPr>
          <w:rFonts w:hint="eastAsia" w:ascii="宋体" w:hAnsi="宋体" w:cs="宋体"/>
          <w:color w:val="000000"/>
          <w:sz w:val="24"/>
        </w:rPr>
        <w:t>真实用户体验监控：实时监控和分析真实用户的可用性状态，包括应用响应时间和可用性等。</w:t>
      </w:r>
    </w:p>
    <w:p>
      <w:pPr>
        <w:pStyle w:val="13"/>
        <w:spacing w:line="360" w:lineRule="auto"/>
        <w:ind w:firstLine="480" w:firstLineChars="200"/>
        <w:rPr>
          <w:rFonts w:ascii="宋体" w:hAnsi="宋体" w:cs="宋体"/>
          <w:bCs/>
          <w:color w:val="000000"/>
          <w:sz w:val="24"/>
        </w:rPr>
      </w:pPr>
      <w:r>
        <w:rPr>
          <w:rFonts w:hint="eastAsia" w:ascii="宋体" w:hAnsi="宋体" w:cs="宋体"/>
          <w:bCs/>
          <w:color w:val="000000"/>
          <w:sz w:val="24"/>
        </w:rPr>
        <w:t>提供</w:t>
      </w:r>
      <w:r>
        <w:rPr>
          <w:rFonts w:hint="eastAsia" w:ascii="宋体" w:hAnsi="宋体"/>
          <w:bCs/>
          <w:color w:val="000000"/>
          <w:sz w:val="24"/>
        </w:rPr>
        <w:t>信息网络系统测试、信息应用系统测试、信息应用</w:t>
      </w:r>
      <w:r>
        <w:rPr>
          <w:rFonts w:hint="eastAsia" w:ascii="宋体" w:hAnsi="宋体" w:cs="宋体"/>
          <w:bCs/>
          <w:color w:val="000000"/>
          <w:sz w:val="24"/>
        </w:rPr>
        <w:t>服务性能管理检测工具服务：</w:t>
      </w:r>
    </w:p>
    <w:tbl>
      <w:tblPr>
        <w:tblStyle w:val="9"/>
        <w:tblW w:w="9343"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65"/>
        <w:gridCol w:w="1930"/>
        <w:gridCol w:w="664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41" w:hRule="atLeast"/>
          <w:jc w:val="center"/>
        </w:trPr>
        <w:tc>
          <w:tcPr>
            <w:tcW w:w="765"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序号</w:t>
            </w:r>
          </w:p>
        </w:tc>
        <w:tc>
          <w:tcPr>
            <w:tcW w:w="1930"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指标名称</w:t>
            </w:r>
          </w:p>
        </w:tc>
        <w:tc>
          <w:tcPr>
            <w:tcW w:w="6648" w:type="dxa"/>
            <w:shd w:val="clear" w:color="auto" w:fill="BFBFBF"/>
            <w:vAlign w:val="center"/>
          </w:tcPr>
          <w:p>
            <w:pPr>
              <w:pStyle w:val="13"/>
              <w:jc w:val="center"/>
              <w:rPr>
                <w:rFonts w:ascii="宋体" w:hAnsi="宋体" w:cs="宋体"/>
                <w:b/>
                <w:bCs/>
                <w:color w:val="000000"/>
                <w:szCs w:val="20"/>
              </w:rPr>
            </w:pPr>
            <w:r>
              <w:rPr>
                <w:rFonts w:hint="eastAsia" w:ascii="宋体" w:hAnsi="宋体" w:cs="宋体"/>
                <w:b/>
                <w:bCs/>
                <w:color w:val="000000"/>
                <w:szCs w:val="20"/>
              </w:rPr>
              <w:t>指标要求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35"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1</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轻量级代理技术</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监测工具的安装及拆卸要求能够快速实施，不能影响业务系统的正常运作；</w:t>
            </w:r>
          </w:p>
          <w:p>
            <w:pPr>
              <w:pStyle w:val="13"/>
              <w:rPr>
                <w:rFonts w:ascii="宋体" w:hAnsi="宋体" w:cs="宋体"/>
                <w:color w:val="000000"/>
                <w:szCs w:val="20"/>
              </w:rPr>
            </w:pPr>
            <w:r>
              <w:rPr>
                <w:rFonts w:hint="eastAsia" w:ascii="宋体" w:hAnsi="宋体" w:cs="宋体"/>
                <w:color w:val="000000"/>
                <w:szCs w:val="20"/>
              </w:rPr>
              <w:t>代理技术对监测主机的资源消耗不能大于5%</w:t>
            </w:r>
          </w:p>
          <w:p>
            <w:pPr>
              <w:pStyle w:val="13"/>
              <w:rPr>
                <w:rFonts w:ascii="宋体" w:hAnsi="宋体" w:cs="宋体"/>
                <w:color w:val="000000"/>
                <w:szCs w:val="20"/>
              </w:rPr>
            </w:pPr>
            <w:r>
              <w:rPr>
                <w:rFonts w:hint="eastAsia" w:ascii="宋体" w:hAnsi="宋体" w:cs="宋体"/>
                <w:color w:val="000000"/>
                <w:szCs w:val="20"/>
              </w:rPr>
              <w:t>监测工具运行过程中应用服务的正常使用不能造成干扰或影响；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2</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监测过程支持7X24小时不间断开展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为真实掌握系统的用户访问情况，要求监测工具开始运行时，信息系统所有的访问都能进行监测、记录。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3</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代码级深度性能诊断</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监测工具要求能够开展深度代码诊断和分析，跟踪记录每个交易的代码级上下文联系，以及对于资源的消耗。提供系统功能截图。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4</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端到端全交付链监测</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系统必须能够实行端到端的整体可视化监测，而不是对组成原件的孤立检测；应用服务运行过程终端调用到的相关软件服务、硬件组件，这些组件之间的交互关系都要实时将交易路径以清晰的图形化进行展示。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5</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应用监控测试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测试工具支持自动发现中间件中运行的应用，实时收集应用的性能数据，包括响应时间，单位时间的请求次数，错误数，错误率，并发执行数，超时挂起的数量。上述单位时间的最小15秒，可以汇聚为分钟、小时等单位。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6</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主机环境监控测试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提供测试工具监控主机的性能服务，包括按照主机的健康度，例如是否正常，较慢，很慢，挂起等状态，以及状态之间的变化趋势。提供系统功能截图。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7</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分析测试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当应用或者交易的性能发生变化或者违背健康（变慢或者挂起等），测试工具会自动收集交易的详细执行过程信息，提供详细的分析能力，帮助监控人员理解性能问题的原因。交易过程的详细信息包括当前交易的健康状态（例如变慢还是挂起，还是性能变化超出基线），该交易的执行时长，执行时间，执行的中间件，主机，所属业务过程，进程／线程信息，请求GUID（用于追踪跨JVM的分布交易过程。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8</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应用拓扑图</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测试工具需支持自动发现应用的执行拓扑图，自动发现从客户前端到后端（数据库，外部调用等）等调用关系，在拓扑图上实时显示应用组件的性能状态。便于监控人员快速发现问题以及隔离定位问题的根源。提供系统功能截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jc w:val="center"/>
        </w:trPr>
        <w:tc>
          <w:tcPr>
            <w:tcW w:w="765" w:type="dxa"/>
            <w:vAlign w:val="center"/>
          </w:tcPr>
          <w:p>
            <w:pPr>
              <w:pStyle w:val="13"/>
              <w:jc w:val="center"/>
              <w:rPr>
                <w:rFonts w:ascii="宋体" w:hAnsi="宋体" w:cs="宋体"/>
                <w:color w:val="000000"/>
                <w:szCs w:val="20"/>
              </w:rPr>
            </w:pPr>
            <w:r>
              <w:rPr>
                <w:rFonts w:hint="eastAsia" w:ascii="宋体" w:hAnsi="宋体" w:cs="宋体"/>
                <w:color w:val="000000"/>
                <w:szCs w:val="20"/>
              </w:rPr>
              <w:t>9</w:t>
            </w:r>
          </w:p>
        </w:tc>
        <w:tc>
          <w:tcPr>
            <w:tcW w:w="1930" w:type="dxa"/>
            <w:vAlign w:val="center"/>
          </w:tcPr>
          <w:p>
            <w:pPr>
              <w:pStyle w:val="13"/>
              <w:rPr>
                <w:rFonts w:ascii="宋体" w:hAnsi="宋体" w:cs="宋体"/>
                <w:color w:val="000000"/>
                <w:szCs w:val="20"/>
              </w:rPr>
            </w:pPr>
            <w:r>
              <w:rPr>
                <w:rFonts w:hint="eastAsia" w:ascii="宋体" w:hAnsi="宋体" w:cs="宋体"/>
                <w:color w:val="000000"/>
                <w:szCs w:val="20"/>
              </w:rPr>
              <w:t>错误和异常监控测试</w:t>
            </w:r>
          </w:p>
        </w:tc>
        <w:tc>
          <w:tcPr>
            <w:tcW w:w="6648" w:type="dxa"/>
            <w:vAlign w:val="center"/>
          </w:tcPr>
          <w:p>
            <w:pPr>
              <w:pStyle w:val="13"/>
              <w:rPr>
                <w:rFonts w:ascii="宋体" w:hAnsi="宋体" w:cs="宋体"/>
                <w:color w:val="000000"/>
                <w:szCs w:val="20"/>
              </w:rPr>
            </w:pPr>
            <w:r>
              <w:rPr>
                <w:rFonts w:hint="eastAsia" w:ascii="宋体" w:hAnsi="宋体" w:cs="宋体"/>
                <w:color w:val="000000"/>
                <w:szCs w:val="20"/>
              </w:rPr>
              <w:t>测试工具需支持自动收集发生错误和异常的业务交易过程的执行细节，供监控人员查看执行的错误详细信息。可以按条件搜索查看错误交易过程的列表。选择任一错误交易查看错误详细信息：开始时间，错误类型和信息，错误栈，请求URL，执行所在的中间件容器，主机。提供系统功能截图。</w:t>
            </w:r>
          </w:p>
        </w:tc>
      </w:tr>
    </w:tbl>
    <w:p>
      <w:pPr>
        <w:pStyle w:val="13"/>
        <w:spacing w:line="460" w:lineRule="exact"/>
        <w:ind w:firstLine="480" w:firstLineChars="200"/>
        <w:rPr>
          <w:rFonts w:ascii="宋体" w:hAnsi="宋体"/>
          <w:color w:val="000000"/>
          <w:sz w:val="24"/>
        </w:rPr>
      </w:pPr>
    </w:p>
    <w:p>
      <w:pPr>
        <w:pStyle w:val="12"/>
        <w:rPr>
          <w:rFonts w:hAnsi="宋体"/>
          <w:sz w:val="24"/>
        </w:rPr>
      </w:pPr>
      <w:bookmarkStart w:id="78" w:name="_Toc433362771"/>
      <w:bookmarkEnd w:id="78"/>
      <w:bookmarkStart w:id="79" w:name="_Toc433363346"/>
      <w:bookmarkEnd w:id="79"/>
      <w:bookmarkStart w:id="80" w:name="_Toc433362773"/>
      <w:bookmarkEnd w:id="80"/>
      <w:bookmarkStart w:id="81" w:name="_Toc433362772"/>
      <w:bookmarkEnd w:id="81"/>
      <w:bookmarkStart w:id="82" w:name="_Toc433363345"/>
      <w:bookmarkEnd w:id="82"/>
      <w:bookmarkStart w:id="83" w:name="_Toc433363347"/>
      <w:bookmarkEnd w:id="83"/>
      <w:bookmarkStart w:id="84" w:name="_Toc433362774"/>
      <w:bookmarkEnd w:id="84"/>
      <w:bookmarkStart w:id="85" w:name="_Toc433363349"/>
      <w:bookmarkEnd w:id="85"/>
      <w:bookmarkStart w:id="86" w:name="_Toc433363348"/>
      <w:bookmarkEnd w:id="86"/>
      <w:bookmarkStart w:id="87" w:name="_Toc433362775"/>
      <w:bookmarkEnd w:id="87"/>
      <w:bookmarkStart w:id="88" w:name="_Toc433362776"/>
      <w:bookmarkEnd w:id="88"/>
      <w:bookmarkStart w:id="89" w:name="_Toc433362781"/>
      <w:bookmarkEnd w:id="89"/>
      <w:bookmarkStart w:id="90" w:name="_Toc433363351"/>
      <w:bookmarkEnd w:id="90"/>
      <w:bookmarkStart w:id="91" w:name="_Toc433362777"/>
      <w:bookmarkEnd w:id="91"/>
      <w:bookmarkStart w:id="92" w:name="_Toc433362778"/>
      <w:bookmarkEnd w:id="92"/>
      <w:bookmarkStart w:id="93" w:name="_Toc433362779"/>
      <w:bookmarkEnd w:id="93"/>
      <w:bookmarkStart w:id="94" w:name="_Toc433363350"/>
      <w:bookmarkEnd w:id="94"/>
      <w:bookmarkStart w:id="95" w:name="_Toc433363353"/>
      <w:bookmarkEnd w:id="95"/>
      <w:bookmarkStart w:id="96" w:name="_Toc433363352"/>
      <w:bookmarkEnd w:id="96"/>
      <w:bookmarkStart w:id="97" w:name="_Toc433362780"/>
      <w:bookmarkEnd w:id="97"/>
      <w:bookmarkStart w:id="98" w:name="_Toc433363354"/>
      <w:bookmarkEnd w:id="98"/>
      <w:bookmarkStart w:id="99" w:name="_Toc433363355"/>
      <w:bookmarkEnd w:id="99"/>
      <w:bookmarkStart w:id="100" w:name="_Toc433363362"/>
      <w:bookmarkEnd w:id="100"/>
      <w:bookmarkStart w:id="101" w:name="_Toc433363357"/>
      <w:bookmarkEnd w:id="101"/>
      <w:bookmarkStart w:id="102" w:name="_Toc433363358"/>
      <w:bookmarkEnd w:id="102"/>
      <w:bookmarkStart w:id="103" w:name="_Toc433362786"/>
      <w:bookmarkEnd w:id="103"/>
      <w:bookmarkStart w:id="104" w:name="_Toc433362788"/>
      <w:bookmarkEnd w:id="104"/>
      <w:bookmarkStart w:id="105" w:name="_Toc433362782"/>
      <w:bookmarkEnd w:id="105"/>
      <w:bookmarkStart w:id="106" w:name="_Toc433362783"/>
      <w:bookmarkEnd w:id="106"/>
      <w:bookmarkStart w:id="107" w:name="_Toc433362784"/>
      <w:bookmarkEnd w:id="107"/>
      <w:bookmarkStart w:id="108" w:name="_Toc433363360"/>
      <w:bookmarkEnd w:id="108"/>
      <w:bookmarkStart w:id="109" w:name="_Toc433363356"/>
      <w:bookmarkEnd w:id="109"/>
      <w:bookmarkStart w:id="110" w:name="_Toc433363369"/>
      <w:bookmarkEnd w:id="110"/>
      <w:bookmarkStart w:id="111" w:name="_Toc433362790"/>
      <w:bookmarkEnd w:id="111"/>
      <w:bookmarkStart w:id="112" w:name="_Toc433362789"/>
      <w:bookmarkEnd w:id="112"/>
      <w:bookmarkStart w:id="113" w:name="_Toc433363366"/>
      <w:bookmarkEnd w:id="113"/>
      <w:bookmarkStart w:id="114" w:name="_Toc433362795"/>
      <w:bookmarkEnd w:id="114"/>
      <w:bookmarkStart w:id="115" w:name="_Toc433362796"/>
      <w:bookmarkEnd w:id="115"/>
      <w:bookmarkStart w:id="116" w:name="_Toc433363363"/>
      <w:bookmarkEnd w:id="116"/>
      <w:bookmarkStart w:id="117" w:name="_Toc433363364"/>
      <w:bookmarkEnd w:id="117"/>
      <w:bookmarkStart w:id="118" w:name="_Toc433362792"/>
      <w:bookmarkEnd w:id="118"/>
      <w:bookmarkStart w:id="119" w:name="_Toc433363371"/>
      <w:bookmarkEnd w:id="119"/>
      <w:bookmarkStart w:id="120" w:name="_Toc433362798"/>
      <w:bookmarkEnd w:id="120"/>
      <w:bookmarkStart w:id="121" w:name="_Toc433363372"/>
      <w:bookmarkEnd w:id="121"/>
      <w:bookmarkStart w:id="122" w:name="_Toc433363338"/>
      <w:bookmarkEnd w:id="122"/>
      <w:bookmarkStart w:id="123" w:name="_Toc433362765"/>
      <w:bookmarkEnd w:id="123"/>
      <w:bookmarkStart w:id="124" w:name="_Toc433362764"/>
      <w:bookmarkEnd w:id="124"/>
      <w:bookmarkStart w:id="125" w:name="_Toc433363339"/>
      <w:bookmarkEnd w:id="125"/>
      <w:bookmarkStart w:id="126" w:name="_Toc433363370"/>
      <w:bookmarkEnd w:id="126"/>
      <w:bookmarkStart w:id="127" w:name="_Toc433362797"/>
      <w:bookmarkEnd w:id="127"/>
      <w:bookmarkStart w:id="128" w:name="_Toc433363340"/>
      <w:bookmarkEnd w:id="128"/>
      <w:bookmarkStart w:id="129" w:name="_Toc433363341"/>
      <w:bookmarkEnd w:id="129"/>
      <w:bookmarkStart w:id="130" w:name="_Toc433362769"/>
      <w:bookmarkEnd w:id="130"/>
      <w:bookmarkStart w:id="131" w:name="_Toc433362770"/>
      <w:bookmarkEnd w:id="131"/>
      <w:bookmarkStart w:id="132" w:name="_Toc433362767"/>
      <w:bookmarkEnd w:id="132"/>
      <w:bookmarkStart w:id="133" w:name="_Toc433363342"/>
      <w:bookmarkEnd w:id="133"/>
      <w:bookmarkStart w:id="134" w:name="_Toc433362768"/>
      <w:bookmarkEnd w:id="134"/>
      <w:bookmarkStart w:id="135" w:name="_Toc433362766"/>
      <w:bookmarkEnd w:id="135"/>
      <w:bookmarkStart w:id="136" w:name="_Toc433363343"/>
      <w:bookmarkEnd w:id="136"/>
      <w:bookmarkStart w:id="137" w:name="_Toc433363344"/>
      <w:bookmarkEnd w:id="137"/>
      <w:bookmarkStart w:id="138" w:name="_Toc433896474"/>
      <w:r>
        <w:rPr>
          <w:rFonts w:hint="eastAsia" w:hAnsi="宋体"/>
          <w:sz w:val="24"/>
        </w:rPr>
        <w:t>（十二）监理人员要求</w:t>
      </w:r>
      <w:bookmarkEnd w:id="138"/>
    </w:p>
    <w:p>
      <w:pPr>
        <w:pStyle w:val="13"/>
        <w:spacing w:line="460" w:lineRule="exact"/>
        <w:ind w:firstLine="480" w:firstLineChars="200"/>
        <w:rPr>
          <w:rFonts w:ascii="宋体" w:hAnsi="宋体"/>
          <w:color w:val="000000"/>
          <w:sz w:val="24"/>
        </w:rPr>
      </w:pPr>
      <w:r>
        <w:rPr>
          <w:rFonts w:hint="eastAsia" w:ascii="宋体" w:hAnsi="宋体"/>
          <w:color w:val="000000"/>
          <w:sz w:val="24"/>
        </w:rPr>
        <w:t>本项目监理的特点是技术涉及面广，涉及到项目的各个阶段，因此要求中标人必须配备专业齐全、经验丰富的监理人员团队为本项目提供监理服务，本次监理项目实行总监理工程师负责制，并要求中标人派出1名现场总监代表及2名现场监理工程师。其中现场总监代表必须驻场。</w:t>
      </w:r>
    </w:p>
    <w:p>
      <w:pPr>
        <w:pStyle w:val="13"/>
        <w:spacing w:line="460" w:lineRule="exact"/>
        <w:ind w:firstLine="480" w:firstLineChars="200"/>
        <w:rPr>
          <w:rFonts w:ascii="宋体" w:hAnsi="宋体"/>
          <w:color w:val="000000"/>
          <w:sz w:val="24"/>
        </w:rPr>
      </w:pPr>
      <w:r>
        <w:rPr>
          <w:rFonts w:hint="eastAsia" w:ascii="宋体" w:hAnsi="宋体"/>
          <w:color w:val="000000"/>
          <w:sz w:val="24"/>
        </w:rPr>
        <w:t>1、现场监理工程师应具备相应专业知识和实践经验，能满足本项目监理需要，并保证专职从事本项目监理工作。</w:t>
      </w:r>
    </w:p>
    <w:p>
      <w:pPr>
        <w:pStyle w:val="13"/>
        <w:spacing w:line="460" w:lineRule="exact"/>
        <w:ind w:firstLine="480" w:firstLineChars="200"/>
        <w:rPr>
          <w:rFonts w:ascii="宋体" w:hAnsi="宋体"/>
          <w:color w:val="000000"/>
          <w:sz w:val="24"/>
        </w:rPr>
      </w:pPr>
      <w:r>
        <w:rPr>
          <w:rFonts w:ascii="宋体" w:hAnsi="宋体"/>
          <w:color w:val="000000"/>
          <w:sz w:val="24"/>
        </w:rPr>
        <w:t>2</w:t>
      </w:r>
      <w:r>
        <w:rPr>
          <w:rFonts w:hint="eastAsia" w:ascii="宋体" w:hAnsi="宋体"/>
          <w:color w:val="000000"/>
          <w:sz w:val="24"/>
        </w:rPr>
        <w:t>、中标人须保证派出的本项目监理人员要与投标文件中提供的监理人员名单一致，并专职从事本项目监理工作。若需更换监理人员的，必须提前10个工作日书面报建设单位批准后方可更换，替代人员必须具有与原监理人员相当或更高的资质和能力。原则上不允许中途更换总监理工程师。</w:t>
      </w:r>
    </w:p>
    <w:p>
      <w:pPr>
        <w:pStyle w:val="13"/>
        <w:spacing w:line="460" w:lineRule="exact"/>
        <w:ind w:firstLine="480" w:firstLineChars="200"/>
        <w:rPr>
          <w:rFonts w:ascii="宋体" w:hAnsi="宋体"/>
          <w:color w:val="000000"/>
          <w:sz w:val="24"/>
        </w:rPr>
      </w:pPr>
      <w:r>
        <w:rPr>
          <w:rFonts w:ascii="宋体" w:hAnsi="宋体"/>
          <w:color w:val="000000"/>
          <w:sz w:val="24"/>
        </w:rPr>
        <w:t>3</w:t>
      </w:r>
      <w:r>
        <w:rPr>
          <w:rFonts w:hint="eastAsia" w:ascii="宋体" w:hAnsi="宋体"/>
          <w:color w:val="000000"/>
          <w:sz w:val="24"/>
        </w:rPr>
        <w:t>、出现下列情况之一的，中标人必须在3个工作日内书面通知建设单位：</w:t>
      </w:r>
    </w:p>
    <w:p>
      <w:pPr>
        <w:pStyle w:val="13"/>
        <w:spacing w:line="460" w:lineRule="exact"/>
        <w:ind w:firstLine="480" w:firstLineChars="200"/>
        <w:rPr>
          <w:rFonts w:ascii="宋体" w:hAnsi="宋体"/>
          <w:color w:val="000000"/>
          <w:sz w:val="24"/>
        </w:rPr>
      </w:pPr>
      <w:r>
        <w:rPr>
          <w:rFonts w:hint="eastAsia" w:ascii="宋体" w:hAnsi="宋体"/>
          <w:color w:val="000000"/>
          <w:sz w:val="24"/>
        </w:rPr>
        <w:t>（1）工作人员辞职或解聘；</w:t>
      </w:r>
    </w:p>
    <w:p>
      <w:pPr>
        <w:pStyle w:val="13"/>
        <w:spacing w:line="460" w:lineRule="exact"/>
        <w:ind w:firstLine="480" w:firstLineChars="200"/>
        <w:rPr>
          <w:rFonts w:ascii="宋体" w:hAnsi="宋体"/>
          <w:color w:val="000000"/>
          <w:sz w:val="24"/>
        </w:rPr>
      </w:pPr>
      <w:r>
        <w:rPr>
          <w:rFonts w:hint="eastAsia" w:ascii="宋体" w:hAnsi="宋体"/>
          <w:color w:val="000000"/>
          <w:sz w:val="24"/>
        </w:rPr>
        <w:t>（2）监理工程师受取消监理工程师资格处分的；</w:t>
      </w:r>
    </w:p>
    <w:p>
      <w:pPr>
        <w:pStyle w:val="13"/>
        <w:spacing w:line="460" w:lineRule="exact"/>
        <w:ind w:firstLine="480" w:firstLineChars="200"/>
        <w:rPr>
          <w:rFonts w:ascii="宋体" w:hAnsi="宋体"/>
          <w:color w:val="000000"/>
          <w:sz w:val="24"/>
        </w:rPr>
      </w:pPr>
      <w:r>
        <w:rPr>
          <w:rFonts w:hint="eastAsia" w:ascii="宋体" w:hAnsi="宋体"/>
          <w:color w:val="000000"/>
          <w:sz w:val="24"/>
        </w:rPr>
        <w:t>（3）其他原因已不适合在本项目中做监理工作的。</w:t>
      </w:r>
    </w:p>
    <w:p>
      <w:pPr>
        <w:pStyle w:val="13"/>
        <w:spacing w:line="460" w:lineRule="exact"/>
        <w:ind w:firstLine="480" w:firstLineChars="200"/>
        <w:rPr>
          <w:rFonts w:ascii="宋体" w:hAnsi="宋体"/>
          <w:color w:val="000000"/>
          <w:sz w:val="24"/>
        </w:rPr>
      </w:pPr>
      <w:r>
        <w:rPr>
          <w:rFonts w:ascii="宋体" w:hAnsi="宋体"/>
          <w:color w:val="000000"/>
          <w:sz w:val="24"/>
        </w:rPr>
        <w:t>4</w:t>
      </w:r>
      <w:r>
        <w:rPr>
          <w:rFonts w:hint="eastAsia" w:ascii="宋体" w:hAnsi="宋体"/>
          <w:color w:val="000000"/>
          <w:sz w:val="24"/>
        </w:rPr>
        <w:t>、建设单位有权书面要求中标人撤换任何不称职的监理人员，更换人员必须具有与原工作人员相当或更高的资质和能力。</w:t>
      </w:r>
    </w:p>
    <w:p>
      <w:pPr>
        <w:pStyle w:val="13"/>
        <w:spacing w:line="460" w:lineRule="exact"/>
        <w:ind w:firstLine="480" w:firstLineChars="200"/>
        <w:rPr>
          <w:rFonts w:ascii="宋体" w:hAnsi="宋体"/>
          <w:color w:val="000000"/>
          <w:sz w:val="24"/>
        </w:rPr>
      </w:pPr>
      <w:r>
        <w:rPr>
          <w:rFonts w:ascii="宋体" w:hAnsi="宋体"/>
          <w:color w:val="000000"/>
          <w:sz w:val="24"/>
        </w:rPr>
        <w:t>5</w:t>
      </w:r>
      <w:r>
        <w:rPr>
          <w:rFonts w:hint="eastAsia" w:ascii="宋体" w:hAnsi="宋体"/>
          <w:color w:val="000000"/>
          <w:sz w:val="24"/>
        </w:rPr>
        <w:t>、在项目建设阶段，监理团队须全程在甲方指定的地点工作；</w:t>
      </w:r>
    </w:p>
    <w:p>
      <w:pPr>
        <w:pStyle w:val="13"/>
        <w:spacing w:line="460" w:lineRule="exact"/>
        <w:ind w:left="480"/>
        <w:rPr>
          <w:rFonts w:ascii="宋体" w:hAnsi="宋体"/>
          <w:color w:val="000000"/>
          <w:sz w:val="24"/>
        </w:rPr>
      </w:pPr>
      <w:r>
        <w:rPr>
          <w:rFonts w:ascii="宋体" w:hAnsi="宋体"/>
          <w:color w:val="000000"/>
          <w:sz w:val="24"/>
        </w:rPr>
        <w:t>6</w:t>
      </w:r>
      <w:r>
        <w:rPr>
          <w:rFonts w:hint="eastAsia" w:ascii="宋体" w:hAnsi="宋体"/>
          <w:color w:val="000000"/>
          <w:sz w:val="24"/>
        </w:rPr>
        <w:t>、未经允许，中标人不得将建设单位提供的所有项目资料擅自带离现场。</w:t>
      </w:r>
    </w:p>
    <w:p>
      <w:pPr>
        <w:adjustRightInd w:val="0"/>
        <w:snapToGrid w:val="0"/>
        <w:spacing w:before="93" w:beforeLines="30" w:line="360" w:lineRule="auto"/>
        <w:rPr>
          <w:b/>
          <w:bCs/>
          <w:szCs w:val="21"/>
        </w:rPr>
      </w:pPr>
      <w:r>
        <w:rPr>
          <w:rFonts w:hint="eastAsia"/>
          <w:b/>
          <w:bCs/>
          <w:szCs w:val="21"/>
        </w:rPr>
        <w:t>第三条 时间进度</w:t>
      </w:r>
    </w:p>
    <w:p>
      <w:pPr>
        <w:adjustRightInd w:val="0"/>
        <w:snapToGrid w:val="0"/>
        <w:spacing w:line="360" w:lineRule="auto"/>
        <w:ind w:firstLine="420" w:firstLineChars="200"/>
        <w:rPr>
          <w:bCs/>
          <w:szCs w:val="21"/>
        </w:rPr>
      </w:pPr>
      <w:bookmarkStart w:id="139" w:name="OLE_LINK5"/>
      <w:bookmarkStart w:id="140" w:name="OLE_LINK4"/>
      <w:bookmarkStart w:id="141" w:name="OLE_LINK6"/>
      <w:r>
        <w:rPr>
          <w:rFonts w:hint="eastAsia"/>
          <w:bCs/>
          <w:szCs w:val="21"/>
        </w:rPr>
        <w:t>根据甲方需要，及时提供监理意见和建议，</w:t>
      </w:r>
      <w:bookmarkEnd w:id="139"/>
      <w:bookmarkEnd w:id="140"/>
      <w:bookmarkEnd w:id="141"/>
      <w:r>
        <w:rPr>
          <w:rFonts w:hint="eastAsia"/>
          <w:bCs/>
          <w:szCs w:val="21"/>
        </w:rPr>
        <w:t>督促大数据共享与管理平台项目建设单位按质按期完成项目建设。项目监理工期</w:t>
      </w:r>
      <w:r>
        <w:rPr>
          <w:rFonts w:hint="eastAsia"/>
        </w:rPr>
        <w:t>自公交集团大数据共享与管理平台开始建设起，至平台建设验收完成止。</w:t>
      </w:r>
    </w:p>
    <w:p>
      <w:pPr>
        <w:adjustRightInd w:val="0"/>
        <w:snapToGrid w:val="0"/>
        <w:spacing w:before="93" w:beforeLines="30" w:line="400" w:lineRule="exact"/>
        <w:rPr>
          <w:b/>
          <w:bCs/>
          <w:szCs w:val="21"/>
        </w:rPr>
      </w:pPr>
      <w:r>
        <w:rPr>
          <w:rFonts w:hint="eastAsia"/>
          <w:b/>
          <w:bCs/>
          <w:szCs w:val="21"/>
        </w:rPr>
        <w:t>第四条 甲方义务</w:t>
      </w:r>
    </w:p>
    <w:p>
      <w:pPr>
        <w:adjustRightInd w:val="0"/>
        <w:snapToGrid w:val="0"/>
        <w:spacing w:before="93" w:beforeLines="30" w:line="360" w:lineRule="auto"/>
        <w:ind w:firstLine="420" w:firstLineChars="200"/>
        <w:rPr>
          <w:bCs/>
          <w:szCs w:val="21"/>
        </w:rPr>
      </w:pPr>
      <w:r>
        <w:rPr>
          <w:rFonts w:hint="eastAsia"/>
          <w:bCs/>
          <w:szCs w:val="21"/>
        </w:rPr>
        <w:t>1、对乙方开展咨询工作给予充分的配合和提供协助。</w:t>
      </w:r>
    </w:p>
    <w:p>
      <w:pPr>
        <w:adjustRightInd w:val="0"/>
        <w:snapToGrid w:val="0"/>
        <w:spacing w:before="93" w:beforeLines="30" w:line="360" w:lineRule="auto"/>
        <w:ind w:firstLine="420" w:firstLineChars="200"/>
        <w:rPr>
          <w:bCs/>
          <w:szCs w:val="21"/>
        </w:rPr>
      </w:pPr>
      <w:r>
        <w:rPr>
          <w:rFonts w:hint="eastAsia"/>
          <w:bCs/>
          <w:szCs w:val="21"/>
        </w:rPr>
        <w:t>2、派出熟悉项目情况的有关人员配合乙方工作，在场地、交通等必要的工作条件方面给予乙方便利。</w:t>
      </w:r>
    </w:p>
    <w:p>
      <w:pPr>
        <w:adjustRightInd w:val="0"/>
        <w:snapToGrid w:val="0"/>
        <w:spacing w:before="93" w:beforeLines="30" w:line="360" w:lineRule="auto"/>
        <w:ind w:firstLine="420" w:firstLineChars="200"/>
        <w:rPr>
          <w:bCs/>
          <w:szCs w:val="21"/>
        </w:rPr>
      </w:pPr>
      <w:r>
        <w:rPr>
          <w:rFonts w:hint="eastAsia"/>
          <w:bCs/>
          <w:szCs w:val="21"/>
        </w:rPr>
        <w:t>3、按本合同约定向乙方支付咨询服务费用。</w:t>
      </w:r>
    </w:p>
    <w:p>
      <w:pPr>
        <w:adjustRightInd w:val="0"/>
        <w:snapToGrid w:val="0"/>
        <w:spacing w:before="93" w:beforeLines="30" w:line="360" w:lineRule="auto"/>
        <w:rPr>
          <w:b/>
          <w:bCs/>
          <w:szCs w:val="21"/>
        </w:rPr>
      </w:pPr>
      <w:r>
        <w:rPr>
          <w:rFonts w:hint="eastAsia"/>
          <w:b/>
          <w:bCs/>
          <w:szCs w:val="21"/>
        </w:rPr>
        <w:t>第五条  乙方的义务</w:t>
      </w:r>
    </w:p>
    <w:p>
      <w:pPr>
        <w:adjustRightInd w:val="0"/>
        <w:snapToGrid w:val="0"/>
        <w:spacing w:before="93" w:beforeLines="30" w:line="360" w:lineRule="auto"/>
        <w:ind w:firstLine="420" w:firstLineChars="200"/>
        <w:rPr>
          <w:bCs/>
          <w:szCs w:val="21"/>
        </w:rPr>
      </w:pPr>
      <w:r>
        <w:rPr>
          <w:rFonts w:hint="eastAsia"/>
          <w:bCs/>
          <w:szCs w:val="21"/>
        </w:rPr>
        <w:t>1、除因本合同约定咨询事务的需要，乙方对甲方提供资料负有保密责任。未经甲方书面同意，乙方不得将资料提供给第三人。</w:t>
      </w:r>
    </w:p>
    <w:p>
      <w:pPr>
        <w:adjustRightInd w:val="0"/>
        <w:snapToGrid w:val="0"/>
        <w:spacing w:before="93" w:beforeLines="30" w:line="360" w:lineRule="auto"/>
        <w:ind w:firstLine="420" w:firstLineChars="200"/>
        <w:rPr>
          <w:bCs/>
          <w:szCs w:val="21"/>
        </w:rPr>
      </w:pPr>
      <w:r>
        <w:rPr>
          <w:rFonts w:hint="eastAsia"/>
          <w:bCs/>
          <w:szCs w:val="21"/>
        </w:rPr>
        <w:t>2、自本合同书生效之日起次日，乙方应派出专业团队按照合同的工作内容要求全力开展咨询工作。</w:t>
      </w:r>
    </w:p>
    <w:p>
      <w:pPr>
        <w:adjustRightInd w:val="0"/>
        <w:snapToGrid w:val="0"/>
        <w:spacing w:before="93" w:beforeLines="30" w:line="360" w:lineRule="auto"/>
        <w:ind w:firstLine="420" w:firstLineChars="200"/>
        <w:rPr>
          <w:bCs/>
          <w:szCs w:val="21"/>
        </w:rPr>
      </w:pPr>
      <w:r>
        <w:rPr>
          <w:rFonts w:hint="eastAsia"/>
          <w:bCs/>
          <w:szCs w:val="21"/>
        </w:rPr>
        <w:t>3、乙方收到甲方分期支付的咨询服务费用后，应当按规定开具符合甲方财务要求的税务发票。</w:t>
      </w:r>
    </w:p>
    <w:p>
      <w:pPr>
        <w:adjustRightInd w:val="0"/>
        <w:snapToGrid w:val="0"/>
        <w:spacing w:before="93" w:beforeLines="30" w:line="360" w:lineRule="auto"/>
        <w:rPr>
          <w:b/>
          <w:bCs/>
          <w:szCs w:val="21"/>
        </w:rPr>
      </w:pPr>
      <w:r>
        <w:rPr>
          <w:rFonts w:hint="eastAsia"/>
          <w:b/>
          <w:bCs/>
          <w:szCs w:val="21"/>
        </w:rPr>
        <w:t>第六条、咨询服务费用支付</w:t>
      </w:r>
    </w:p>
    <w:p>
      <w:pPr>
        <w:adjustRightInd w:val="0"/>
        <w:snapToGrid w:val="0"/>
        <w:spacing w:before="93" w:beforeLines="30" w:line="360" w:lineRule="auto"/>
        <w:ind w:firstLine="420" w:firstLineChars="200"/>
        <w:rPr>
          <w:bCs/>
          <w:szCs w:val="21"/>
        </w:rPr>
      </w:pPr>
      <w:r>
        <w:rPr>
          <w:rFonts w:hint="eastAsia"/>
          <w:bCs/>
          <w:szCs w:val="21"/>
        </w:rPr>
        <w:t xml:space="preserve">1、合同金额 </w:t>
      </w:r>
    </w:p>
    <w:p>
      <w:pPr>
        <w:adjustRightInd w:val="0"/>
        <w:snapToGrid w:val="0"/>
        <w:spacing w:before="93" w:beforeLines="30" w:line="360" w:lineRule="auto"/>
        <w:ind w:firstLine="420" w:firstLineChars="200"/>
        <w:rPr>
          <w:bCs/>
          <w:szCs w:val="21"/>
        </w:rPr>
      </w:pPr>
      <w:r>
        <w:rPr>
          <w:rFonts w:hint="eastAsia"/>
          <w:bCs/>
          <w:szCs w:val="21"/>
        </w:rPr>
        <w:t>本合同的咨询服务费共计人民币大写</w:t>
      </w:r>
      <w:r>
        <w:rPr>
          <w:rFonts w:hint="eastAsia"/>
          <w:b/>
          <w:bCs/>
          <w:szCs w:val="21"/>
          <w:u w:val="single"/>
        </w:rPr>
        <w:t xml:space="preserve">　　　　　      </w:t>
      </w:r>
      <w:r>
        <w:rPr>
          <w:rFonts w:hint="eastAsia"/>
          <w:bCs/>
          <w:szCs w:val="21"/>
        </w:rPr>
        <w:t>元（小写￥</w:t>
      </w:r>
      <w:r>
        <w:rPr>
          <w:rFonts w:hint="eastAsia"/>
          <w:b/>
          <w:bCs/>
          <w:szCs w:val="21"/>
          <w:u w:val="single"/>
        </w:rPr>
        <w:t>　　　　　　　</w:t>
      </w:r>
      <w:r>
        <w:rPr>
          <w:rFonts w:hint="eastAsia"/>
          <w:bCs/>
          <w:szCs w:val="21"/>
        </w:rPr>
        <w:t>元。</w:t>
      </w:r>
    </w:p>
    <w:p>
      <w:pPr>
        <w:adjustRightInd w:val="0"/>
        <w:snapToGrid w:val="0"/>
        <w:spacing w:before="93" w:beforeLines="30" w:line="360" w:lineRule="auto"/>
        <w:ind w:firstLine="420" w:firstLineChars="200"/>
        <w:rPr>
          <w:bCs/>
          <w:szCs w:val="21"/>
        </w:rPr>
      </w:pPr>
      <w:r>
        <w:rPr>
          <w:rFonts w:hint="eastAsia"/>
          <w:bCs/>
          <w:szCs w:val="21"/>
        </w:rPr>
        <w:t>咨询服务费用包含相关沟通协调费用、工作人员工资、交通费、差旅费、食宿费、通讯费、人员补贴等费用以及该咨询费用所对应的税费、</w:t>
      </w:r>
      <w:r>
        <w:rPr>
          <w:rFonts w:hint="eastAsia"/>
        </w:rPr>
        <w:t>利润、保险、技术措施费、风险费、政策性文件规定费用等所有的费用。</w:t>
      </w:r>
    </w:p>
    <w:p>
      <w:pPr>
        <w:adjustRightInd w:val="0"/>
        <w:snapToGrid w:val="0"/>
        <w:spacing w:before="93" w:beforeLines="30" w:line="360" w:lineRule="auto"/>
        <w:ind w:firstLine="420" w:firstLineChars="200"/>
        <w:rPr>
          <w:bCs/>
          <w:szCs w:val="21"/>
        </w:rPr>
      </w:pPr>
      <w:r>
        <w:rPr>
          <w:rFonts w:hint="eastAsia"/>
          <w:bCs/>
          <w:szCs w:val="21"/>
        </w:rPr>
        <w:t>2、支付方式</w:t>
      </w:r>
    </w:p>
    <w:p>
      <w:pPr>
        <w:adjustRightInd w:val="0"/>
        <w:snapToGrid w:val="0"/>
        <w:spacing w:before="93" w:beforeLines="30" w:line="360" w:lineRule="auto"/>
        <w:ind w:firstLine="420" w:firstLineChars="200"/>
        <w:rPr>
          <w:bCs/>
          <w:szCs w:val="21"/>
        </w:rPr>
      </w:pPr>
      <w:r>
        <w:rPr>
          <w:rFonts w:hint="eastAsia"/>
          <w:bCs/>
          <w:szCs w:val="21"/>
        </w:rPr>
        <w:t>（1）项目启动阶段：合同签订后，甲方在十个工作日内向乙方支付总服务费用的30%，即人民币</w:t>
      </w:r>
      <w:r>
        <w:rPr>
          <w:rFonts w:hint="eastAsia"/>
          <w:bCs/>
          <w:szCs w:val="21"/>
          <w:u w:val="single"/>
        </w:rPr>
        <w:t xml:space="preserve">      </w:t>
      </w:r>
      <w:r>
        <w:rPr>
          <w:rFonts w:hint="eastAsia"/>
          <w:bCs/>
          <w:szCs w:val="21"/>
        </w:rPr>
        <w:t>元。</w:t>
      </w:r>
    </w:p>
    <w:p>
      <w:pPr>
        <w:adjustRightInd w:val="0"/>
        <w:snapToGrid w:val="0"/>
        <w:spacing w:before="93" w:beforeLines="30" w:line="360" w:lineRule="auto"/>
        <w:ind w:firstLine="420" w:firstLineChars="200"/>
        <w:rPr>
          <w:bCs/>
          <w:szCs w:val="21"/>
        </w:rPr>
      </w:pPr>
      <w:r>
        <w:rPr>
          <w:rFonts w:hint="eastAsia"/>
          <w:bCs/>
          <w:szCs w:val="21"/>
        </w:rPr>
        <w:t>（2）项目建设阶段：大数据共享与管理平台建设项目试运行后，甲方在十个工作日内向乙方支付总服务费用的40%，即人民币</w:t>
      </w:r>
      <w:r>
        <w:rPr>
          <w:rFonts w:hint="eastAsia"/>
          <w:bCs/>
          <w:szCs w:val="21"/>
          <w:u w:val="single"/>
        </w:rPr>
        <w:t xml:space="preserve">      </w:t>
      </w:r>
      <w:r>
        <w:rPr>
          <w:rFonts w:hint="eastAsia"/>
          <w:bCs/>
          <w:szCs w:val="21"/>
        </w:rPr>
        <w:t>元。</w:t>
      </w:r>
    </w:p>
    <w:p>
      <w:pPr>
        <w:adjustRightInd w:val="0"/>
        <w:snapToGrid w:val="0"/>
        <w:spacing w:before="93" w:beforeLines="30" w:line="360" w:lineRule="auto"/>
        <w:ind w:firstLine="420" w:firstLineChars="200"/>
        <w:rPr>
          <w:bCs/>
          <w:szCs w:val="21"/>
        </w:rPr>
      </w:pPr>
      <w:r>
        <w:rPr>
          <w:rFonts w:hint="eastAsia"/>
          <w:bCs/>
          <w:szCs w:val="21"/>
        </w:rPr>
        <w:t>（3）项目验收阶段：大数据共享与管理平台建设项目终验后，在十个工作日内向乙方支付总服务费用的30%，即人民币</w:t>
      </w:r>
      <w:r>
        <w:rPr>
          <w:rFonts w:hint="eastAsia"/>
          <w:bCs/>
          <w:szCs w:val="21"/>
          <w:u w:val="single"/>
        </w:rPr>
        <w:t xml:space="preserve">      </w:t>
      </w:r>
      <w:r>
        <w:rPr>
          <w:rFonts w:hint="eastAsia"/>
          <w:bCs/>
          <w:szCs w:val="21"/>
        </w:rPr>
        <w:t>元</w:t>
      </w:r>
    </w:p>
    <w:p>
      <w:pPr>
        <w:adjustRightInd w:val="0"/>
        <w:snapToGrid w:val="0"/>
        <w:spacing w:before="93" w:beforeLines="30" w:line="360" w:lineRule="auto"/>
        <w:ind w:firstLine="420" w:firstLineChars="200"/>
        <w:rPr>
          <w:bCs/>
          <w:szCs w:val="21"/>
        </w:rPr>
      </w:pPr>
      <w:r>
        <w:rPr>
          <w:rFonts w:hint="eastAsia"/>
          <w:bCs/>
          <w:szCs w:val="21"/>
        </w:rPr>
        <w:t>3、如监理工作因甲方需要中途停止，甲方将根据乙方的实际工作量和项目进度情况，双方进行协商，确定结算费用并支付费用余额。</w:t>
      </w:r>
    </w:p>
    <w:p>
      <w:pPr>
        <w:adjustRightInd w:val="0"/>
        <w:snapToGrid w:val="0"/>
        <w:spacing w:before="93" w:beforeLines="30" w:line="360" w:lineRule="auto"/>
        <w:ind w:firstLine="420" w:firstLineChars="200"/>
        <w:rPr>
          <w:bCs/>
          <w:szCs w:val="21"/>
        </w:rPr>
      </w:pPr>
      <w:r>
        <w:rPr>
          <w:rFonts w:hint="eastAsia"/>
          <w:bCs/>
          <w:szCs w:val="21"/>
        </w:rPr>
        <w:t>4、乙方账户资料</w:t>
      </w:r>
    </w:p>
    <w:p>
      <w:pPr>
        <w:adjustRightInd w:val="0"/>
        <w:snapToGrid w:val="0"/>
        <w:spacing w:before="93" w:beforeLines="30" w:line="360" w:lineRule="auto"/>
        <w:ind w:firstLine="420" w:firstLineChars="200"/>
        <w:rPr>
          <w:bCs/>
          <w:szCs w:val="21"/>
        </w:rPr>
      </w:pPr>
      <w:r>
        <w:rPr>
          <w:rFonts w:hint="eastAsia"/>
          <w:bCs/>
          <w:szCs w:val="21"/>
        </w:rPr>
        <w:t>乙方开户名称：</w:t>
      </w:r>
    </w:p>
    <w:p>
      <w:pPr>
        <w:adjustRightInd w:val="0"/>
        <w:snapToGrid w:val="0"/>
        <w:spacing w:before="93" w:beforeLines="30" w:line="360" w:lineRule="auto"/>
        <w:ind w:firstLine="420" w:firstLineChars="200"/>
        <w:rPr>
          <w:bCs/>
          <w:szCs w:val="21"/>
        </w:rPr>
      </w:pPr>
      <w:r>
        <w:rPr>
          <w:rFonts w:hint="eastAsia"/>
          <w:bCs/>
          <w:szCs w:val="21"/>
        </w:rPr>
        <w:t xml:space="preserve">乙方开户银行: </w:t>
      </w:r>
    </w:p>
    <w:p>
      <w:pPr>
        <w:adjustRightInd w:val="0"/>
        <w:snapToGrid w:val="0"/>
        <w:spacing w:before="93" w:beforeLines="30" w:line="360" w:lineRule="auto"/>
        <w:ind w:firstLine="420" w:firstLineChars="200"/>
        <w:rPr>
          <w:bCs/>
          <w:szCs w:val="21"/>
        </w:rPr>
      </w:pPr>
      <w:r>
        <w:rPr>
          <w:rFonts w:hint="eastAsia"/>
          <w:bCs/>
          <w:szCs w:val="21"/>
        </w:rPr>
        <w:t>乙方开户账号:</w:t>
      </w:r>
    </w:p>
    <w:p>
      <w:pPr>
        <w:adjustRightInd w:val="0"/>
        <w:snapToGrid w:val="0"/>
        <w:spacing w:before="93" w:beforeLines="30" w:line="360" w:lineRule="auto"/>
        <w:ind w:firstLine="420" w:firstLineChars="200"/>
        <w:rPr>
          <w:bCs/>
          <w:szCs w:val="21"/>
        </w:rPr>
      </w:pPr>
      <w:r>
        <w:rPr>
          <w:rFonts w:hint="eastAsia"/>
          <w:bCs/>
          <w:szCs w:val="21"/>
        </w:rPr>
        <w:t>如乙方账户资料更改，应及时通知甲方。</w:t>
      </w:r>
    </w:p>
    <w:p>
      <w:pPr>
        <w:adjustRightInd w:val="0"/>
        <w:snapToGrid w:val="0"/>
        <w:spacing w:before="93" w:beforeLines="30" w:line="400" w:lineRule="exact"/>
        <w:ind w:firstLine="420" w:firstLineChars="200"/>
        <w:rPr>
          <w:b/>
          <w:bCs/>
          <w:szCs w:val="21"/>
        </w:rPr>
      </w:pPr>
      <w:r>
        <w:rPr>
          <w:rFonts w:hint="eastAsia"/>
          <w:b/>
          <w:bCs/>
          <w:szCs w:val="21"/>
        </w:rPr>
        <w:t>第七条  违约责任</w:t>
      </w:r>
    </w:p>
    <w:p>
      <w:pPr>
        <w:adjustRightInd w:val="0"/>
        <w:snapToGrid w:val="0"/>
        <w:spacing w:before="93" w:beforeLines="30" w:line="360" w:lineRule="auto"/>
        <w:ind w:firstLine="420" w:firstLineChars="200"/>
        <w:rPr>
          <w:bCs/>
          <w:szCs w:val="21"/>
        </w:rPr>
      </w:pPr>
      <w:r>
        <w:rPr>
          <w:rFonts w:hint="eastAsia"/>
          <w:bCs/>
          <w:szCs w:val="21"/>
        </w:rPr>
        <w:t>1、如甲方提供虚假的资料，应承担提供虚假资料的责任。</w:t>
      </w:r>
    </w:p>
    <w:p>
      <w:pPr>
        <w:adjustRightInd w:val="0"/>
        <w:snapToGrid w:val="0"/>
        <w:spacing w:before="93" w:beforeLines="30" w:line="360" w:lineRule="auto"/>
        <w:ind w:firstLine="420" w:firstLineChars="200"/>
        <w:rPr>
          <w:bCs/>
          <w:szCs w:val="21"/>
        </w:rPr>
      </w:pPr>
      <w:r>
        <w:rPr>
          <w:rFonts w:hint="eastAsia"/>
          <w:bCs/>
          <w:szCs w:val="21"/>
        </w:rPr>
        <w:t>2、如乙方违反第五条的有关保密的要求而对甲方造成损失的，应承担相应的法律责任并赔偿给甲方造成的损失。</w:t>
      </w:r>
    </w:p>
    <w:p>
      <w:pPr>
        <w:adjustRightInd w:val="0"/>
        <w:snapToGrid w:val="0"/>
        <w:spacing w:before="93" w:beforeLines="30" w:line="360" w:lineRule="auto"/>
        <w:ind w:firstLine="420" w:firstLineChars="200"/>
        <w:rPr>
          <w:bCs/>
          <w:szCs w:val="21"/>
        </w:rPr>
      </w:pPr>
      <w:r>
        <w:rPr>
          <w:rFonts w:hint="eastAsia"/>
          <w:bCs/>
          <w:szCs w:val="21"/>
        </w:rPr>
        <w:t>3、如甲方没有按本合同的要求支付咨询服务费用，每延迟一天需按应付费用的万分之一向乙方支付违约金。</w:t>
      </w:r>
    </w:p>
    <w:p>
      <w:pPr>
        <w:adjustRightInd w:val="0"/>
        <w:snapToGrid w:val="0"/>
        <w:spacing w:before="93" w:beforeLines="30" w:line="360" w:lineRule="auto"/>
        <w:ind w:firstLine="420" w:firstLineChars="200"/>
        <w:rPr>
          <w:bCs/>
          <w:szCs w:val="21"/>
        </w:rPr>
      </w:pPr>
      <w:r>
        <w:rPr>
          <w:rFonts w:hint="eastAsia"/>
          <w:bCs/>
          <w:szCs w:val="21"/>
        </w:rPr>
        <w:t>4、如乙方没有按本合同的要求提交咨询成果，每延迟一天需按应收款项的万分之一向甲方支付违约金。</w:t>
      </w:r>
    </w:p>
    <w:p>
      <w:pPr>
        <w:adjustRightInd w:val="0"/>
        <w:snapToGrid w:val="0"/>
        <w:spacing w:before="93" w:beforeLines="30" w:line="360" w:lineRule="auto"/>
        <w:ind w:firstLine="420" w:firstLineChars="200"/>
        <w:rPr>
          <w:b/>
          <w:bCs/>
          <w:szCs w:val="21"/>
        </w:rPr>
      </w:pPr>
      <w:r>
        <w:rPr>
          <w:rFonts w:hint="eastAsia"/>
          <w:b/>
          <w:bCs/>
          <w:szCs w:val="21"/>
        </w:rPr>
        <w:t>第八条  合同争议</w:t>
      </w:r>
    </w:p>
    <w:p>
      <w:pPr>
        <w:adjustRightInd w:val="0"/>
        <w:snapToGrid w:val="0"/>
        <w:spacing w:before="93" w:beforeLines="30" w:line="360" w:lineRule="auto"/>
        <w:ind w:firstLine="420" w:firstLineChars="200"/>
        <w:rPr>
          <w:bCs/>
          <w:szCs w:val="21"/>
        </w:rPr>
      </w:pPr>
      <w:r>
        <w:rPr>
          <w:rFonts w:hint="eastAsia"/>
          <w:bCs/>
          <w:szCs w:val="21"/>
        </w:rPr>
        <w:t>甲方和乙方在履行本合同过程中发生争议，应友好协商解决，协商解决不成的，通过广州仲裁委员会按照届时有效的仲裁规则仲裁解决。</w:t>
      </w:r>
    </w:p>
    <w:p>
      <w:pPr>
        <w:adjustRightInd w:val="0"/>
        <w:snapToGrid w:val="0"/>
        <w:spacing w:before="93" w:beforeLines="30" w:line="360" w:lineRule="auto"/>
        <w:ind w:firstLine="420" w:firstLineChars="200"/>
        <w:rPr>
          <w:b/>
          <w:bCs/>
          <w:szCs w:val="21"/>
        </w:rPr>
      </w:pPr>
      <w:r>
        <w:rPr>
          <w:rFonts w:hint="eastAsia"/>
          <w:b/>
          <w:bCs/>
          <w:szCs w:val="21"/>
        </w:rPr>
        <w:t>第九条  合同的签订及生效</w:t>
      </w:r>
    </w:p>
    <w:p>
      <w:pPr>
        <w:adjustRightInd w:val="0"/>
        <w:snapToGrid w:val="0"/>
        <w:spacing w:before="93" w:beforeLines="30" w:line="360" w:lineRule="auto"/>
        <w:ind w:firstLine="420" w:firstLineChars="200"/>
        <w:rPr>
          <w:bCs/>
          <w:szCs w:val="21"/>
        </w:rPr>
      </w:pPr>
      <w:r>
        <w:rPr>
          <w:rFonts w:hint="eastAsia"/>
          <w:bCs/>
          <w:szCs w:val="21"/>
        </w:rPr>
        <w:t>本合同签订地为广州市，自双方在本合同文本上签署盖章之日起生效。</w:t>
      </w:r>
    </w:p>
    <w:p>
      <w:pPr>
        <w:adjustRightInd w:val="0"/>
        <w:snapToGrid w:val="0"/>
        <w:spacing w:before="93" w:beforeLines="30" w:line="360" w:lineRule="auto"/>
        <w:ind w:firstLine="420" w:firstLineChars="200"/>
        <w:rPr>
          <w:bCs/>
          <w:szCs w:val="21"/>
        </w:rPr>
      </w:pPr>
      <w:r>
        <w:rPr>
          <w:rFonts w:hint="eastAsia"/>
          <w:b/>
          <w:bCs/>
          <w:szCs w:val="21"/>
        </w:rPr>
        <w:t xml:space="preserve">第十条 </w:t>
      </w:r>
      <w:r>
        <w:rPr>
          <w:rFonts w:hint="eastAsia"/>
          <w:bCs/>
          <w:szCs w:val="21"/>
        </w:rPr>
        <w:t xml:space="preserve"> 本合同一式肆份， 甲乙双方各执贰份，均具同等效力。</w:t>
      </w:r>
    </w:p>
    <w:p>
      <w:pPr>
        <w:pStyle w:val="3"/>
        <w:tabs>
          <w:tab w:val="left" w:pos="709"/>
        </w:tabs>
        <w:adjustRightInd w:val="0"/>
        <w:snapToGrid w:val="0"/>
        <w:spacing w:before="156" w:beforeLines="50" w:line="360" w:lineRule="auto"/>
        <w:ind w:left="426"/>
        <w:rPr>
          <w:rFonts w:hAnsi="宋体" w:cs="黑体"/>
          <w:sz w:val="24"/>
        </w:rPr>
      </w:pPr>
      <w:r>
        <w:rPr>
          <w:rFonts w:hint="eastAsia"/>
          <w:b/>
          <w:bCs/>
          <w:sz w:val="24"/>
        </w:rPr>
        <w:t>第十一条　</w:t>
      </w:r>
      <w:r>
        <w:rPr>
          <w:rFonts w:hint="eastAsia" w:hAnsi="宋体" w:cs="黑体"/>
          <w:sz w:val="24"/>
        </w:rPr>
        <w:t>本合同未尽事宜，双方可签订补充协议，有关协议及双方授权代表签字认可的来往电报、传真、会议纪要等，均为本合同组成部分，与本合同具有同等法律效力。</w:t>
      </w:r>
    </w:p>
    <w:p>
      <w:pPr>
        <w:adjustRightInd w:val="0"/>
        <w:snapToGrid w:val="0"/>
        <w:spacing w:before="93" w:beforeLines="30" w:line="400" w:lineRule="exact"/>
        <w:rPr>
          <w:bCs/>
          <w:szCs w:val="21"/>
        </w:rPr>
      </w:pPr>
    </w:p>
    <w:p>
      <w:pPr>
        <w:adjustRightInd w:val="0"/>
        <w:snapToGrid w:val="0"/>
        <w:spacing w:before="93" w:beforeLines="30" w:line="400" w:lineRule="exact"/>
        <w:rPr>
          <w:bCs/>
          <w:szCs w:val="21"/>
        </w:rPr>
      </w:pPr>
      <w:r>
        <w:rPr>
          <w:rFonts w:hint="eastAsia"/>
          <w:bCs/>
          <w:szCs w:val="21"/>
        </w:rPr>
        <w:t>甲方：</w:t>
      </w:r>
    </w:p>
    <w:p>
      <w:pPr>
        <w:adjustRightInd w:val="0"/>
        <w:snapToGrid w:val="0"/>
        <w:spacing w:before="93" w:beforeLines="30" w:line="400" w:lineRule="exact"/>
        <w:rPr>
          <w:bCs/>
          <w:szCs w:val="21"/>
        </w:rPr>
      </w:pPr>
      <w:r>
        <w:rPr>
          <w:rFonts w:hint="eastAsia"/>
          <w:bCs/>
          <w:szCs w:val="21"/>
        </w:rPr>
        <w:t>法定代表人或</w:t>
      </w:r>
      <w:bookmarkStart w:id="142" w:name="OLE_LINK1"/>
      <w:r>
        <w:rPr>
          <w:rFonts w:hint="eastAsia"/>
          <w:bCs/>
          <w:szCs w:val="21"/>
        </w:rPr>
        <w:t>授权代理人</w:t>
      </w:r>
      <w:bookmarkEnd w:id="142"/>
      <w:r>
        <w:rPr>
          <w:rFonts w:hint="eastAsia"/>
          <w:bCs/>
          <w:szCs w:val="21"/>
        </w:rPr>
        <w:t>：</w:t>
      </w:r>
    </w:p>
    <w:p>
      <w:pPr>
        <w:adjustRightInd w:val="0"/>
        <w:snapToGrid w:val="0"/>
        <w:spacing w:before="93" w:beforeLines="30" w:line="400" w:lineRule="exact"/>
        <w:rPr>
          <w:bCs/>
          <w:szCs w:val="21"/>
        </w:rPr>
      </w:pPr>
      <w:r>
        <w:rPr>
          <w:rFonts w:hint="eastAsia"/>
          <w:bCs/>
          <w:szCs w:val="21"/>
        </w:rPr>
        <w:t>地址：</w:t>
      </w:r>
    </w:p>
    <w:p>
      <w:pPr>
        <w:adjustRightInd w:val="0"/>
        <w:snapToGrid w:val="0"/>
        <w:spacing w:before="93" w:beforeLines="30" w:line="400" w:lineRule="exact"/>
        <w:rPr>
          <w:bCs/>
          <w:szCs w:val="21"/>
        </w:rPr>
      </w:pPr>
      <w:r>
        <w:rPr>
          <w:rFonts w:hint="eastAsia"/>
          <w:bCs/>
          <w:szCs w:val="21"/>
        </w:rPr>
        <w:t>电话：</w:t>
      </w:r>
    </w:p>
    <w:p>
      <w:pPr>
        <w:adjustRightInd w:val="0"/>
        <w:snapToGrid w:val="0"/>
        <w:spacing w:before="93" w:beforeLines="30" w:line="400" w:lineRule="exact"/>
        <w:rPr>
          <w:bCs/>
          <w:szCs w:val="21"/>
        </w:rPr>
      </w:pPr>
      <w:r>
        <w:rPr>
          <w:rFonts w:hint="eastAsia"/>
          <w:bCs/>
          <w:szCs w:val="21"/>
        </w:rPr>
        <w:t>传真：</w:t>
      </w:r>
    </w:p>
    <w:p>
      <w:pPr>
        <w:adjustRightInd w:val="0"/>
        <w:snapToGrid w:val="0"/>
        <w:spacing w:before="93" w:beforeLines="30" w:line="400" w:lineRule="exact"/>
        <w:rPr>
          <w:bCs/>
          <w:szCs w:val="21"/>
        </w:rPr>
      </w:pPr>
    </w:p>
    <w:p>
      <w:pPr>
        <w:adjustRightInd w:val="0"/>
        <w:snapToGrid w:val="0"/>
        <w:spacing w:before="93" w:beforeLines="30" w:line="400" w:lineRule="exact"/>
        <w:rPr>
          <w:bCs/>
          <w:szCs w:val="21"/>
        </w:rPr>
      </w:pPr>
      <w:r>
        <w:rPr>
          <w:rFonts w:hint="eastAsia"/>
          <w:bCs/>
          <w:szCs w:val="21"/>
        </w:rPr>
        <w:t>乙方：</w:t>
      </w:r>
    </w:p>
    <w:p>
      <w:pPr>
        <w:adjustRightInd w:val="0"/>
        <w:snapToGrid w:val="0"/>
        <w:spacing w:before="93" w:beforeLines="30" w:line="400" w:lineRule="exact"/>
        <w:rPr>
          <w:bCs/>
          <w:szCs w:val="21"/>
        </w:rPr>
      </w:pPr>
      <w:r>
        <w:rPr>
          <w:rFonts w:hint="eastAsia"/>
          <w:bCs/>
          <w:szCs w:val="21"/>
        </w:rPr>
        <w:t>法定代表人或授权代理人：</w:t>
      </w:r>
    </w:p>
    <w:p>
      <w:pPr>
        <w:adjustRightInd w:val="0"/>
        <w:snapToGrid w:val="0"/>
        <w:spacing w:before="93" w:beforeLines="30" w:line="400" w:lineRule="exact"/>
        <w:rPr>
          <w:bCs/>
          <w:szCs w:val="21"/>
        </w:rPr>
      </w:pPr>
      <w:r>
        <w:rPr>
          <w:rFonts w:hint="eastAsia"/>
          <w:bCs/>
          <w:szCs w:val="21"/>
        </w:rPr>
        <w:t>地址：</w:t>
      </w:r>
    </w:p>
    <w:p>
      <w:pPr>
        <w:adjustRightInd w:val="0"/>
        <w:snapToGrid w:val="0"/>
        <w:spacing w:before="93" w:beforeLines="30" w:line="400" w:lineRule="exact"/>
        <w:rPr>
          <w:bCs/>
          <w:szCs w:val="21"/>
        </w:rPr>
      </w:pPr>
      <w:r>
        <w:rPr>
          <w:rFonts w:hint="eastAsia"/>
          <w:bCs/>
          <w:szCs w:val="21"/>
        </w:rPr>
        <w:t>电话：</w:t>
      </w:r>
    </w:p>
    <w:p>
      <w:pPr>
        <w:adjustRightInd w:val="0"/>
        <w:snapToGrid w:val="0"/>
        <w:spacing w:before="93" w:beforeLines="30" w:line="400" w:lineRule="exact"/>
        <w:rPr>
          <w:bCs/>
          <w:szCs w:val="21"/>
        </w:rPr>
      </w:pPr>
      <w:r>
        <w:rPr>
          <w:rFonts w:hint="eastAsia"/>
          <w:bCs/>
          <w:szCs w:val="21"/>
        </w:rPr>
        <w:t>传真</w:t>
      </w:r>
    </w:p>
    <w:p>
      <w:pPr>
        <w:adjustRightInd w:val="0"/>
        <w:snapToGrid w:val="0"/>
        <w:spacing w:line="420" w:lineRule="exact"/>
        <w:ind w:firstLine="4200" w:firstLineChars="1500"/>
        <w:rPr>
          <w:rFonts w:ascii="仿宋_GB2312" w:eastAsia="仿宋_GB2312"/>
          <w:sz w:val="28"/>
        </w:rPr>
      </w:pPr>
    </w:p>
    <w:p>
      <w:pPr>
        <w:adjustRightInd w:val="0"/>
        <w:snapToGrid w:val="0"/>
        <w:spacing w:before="93" w:beforeLines="30" w:line="400" w:lineRule="exact"/>
        <w:ind w:firstLine="3570" w:firstLineChars="1700"/>
        <w:rPr>
          <w:bCs/>
          <w:szCs w:val="21"/>
        </w:rPr>
      </w:pPr>
      <w:r>
        <w:rPr>
          <w:rFonts w:hint="eastAsia"/>
          <w:bCs/>
          <w:szCs w:val="21"/>
        </w:rPr>
        <w:t>签订时间：二○一九年   月   日</w:t>
      </w:r>
    </w:p>
    <w:p>
      <w:pPr/>
    </w:p>
    <w:p>
      <w:pPr/>
    </w:p>
    <w:p>
      <w:pPr/>
    </w:p>
    <w:p>
      <w:pPr/>
    </w:p>
    <w:p>
      <w:pPr/>
    </w:p>
    <w:p>
      <w:pPr/>
    </w:p>
    <w:p>
      <w:pPr/>
    </w:p>
    <w:p>
      <w:pPr/>
    </w:p>
    <w:p>
      <w:pPr/>
    </w:p>
    <w:p>
      <w:pPr/>
    </w:p>
    <w:p>
      <w:pPr/>
    </w:p>
    <w:p>
      <w:pPr/>
    </w:p>
    <w:p>
      <w:pPr/>
    </w:p>
    <w:p>
      <w:pPr/>
    </w:p>
    <w:p>
      <w:pPr/>
    </w:p>
    <w:p>
      <w:pPr/>
    </w:p>
    <w:p>
      <w:pPr/>
    </w:p>
    <w:p>
      <w:pPr/>
    </w:p>
    <w:p>
      <w:pPr/>
    </w:p>
    <w:p>
      <w:pPr/>
    </w:p>
    <w:p>
      <w:pPr/>
    </w:p>
    <w:p>
      <w:pPr/>
    </w:p>
    <w:p>
      <w:pPr/>
    </w:p>
    <w:p>
      <w:pPr/>
    </w:p>
    <w:p>
      <w:pPr/>
    </w:p>
    <w:p>
      <w:pPr/>
    </w:p>
    <w:p>
      <w:pPr/>
    </w:p>
    <w:p>
      <w:pPr/>
    </w:p>
    <w:p>
      <w:pPr>
        <w:numPr>
          <w:ilvl w:val="0"/>
          <w:numId w:val="1"/>
        </w:numPr>
        <w:tabs>
          <w:tab w:val="left" w:pos="993"/>
          <w:tab w:val="left" w:pos="4716"/>
          <w:tab w:val="left" w:pos="7559"/>
        </w:tabs>
        <w:spacing w:line="300" w:lineRule="auto"/>
        <w:ind w:left="0" w:firstLine="0"/>
        <w:jc w:val="center"/>
        <w:outlineLvl w:val="0"/>
        <w:rPr>
          <w:b/>
          <w:sz w:val="30"/>
          <w:szCs w:val="30"/>
        </w:rPr>
      </w:pPr>
      <w:bookmarkStart w:id="143" w:name="_Toc406932438"/>
      <w:r>
        <w:rPr>
          <w:rFonts w:hint="eastAsia"/>
          <w:b/>
          <w:sz w:val="30"/>
          <w:szCs w:val="30"/>
        </w:rPr>
        <w:t xml:space="preserve">  评审附表</w:t>
      </w:r>
      <w:bookmarkEnd w:id="143"/>
    </w:p>
    <w:p>
      <w:pPr>
        <w:adjustRightInd w:val="0"/>
        <w:snapToGrid w:val="0"/>
        <w:spacing w:line="360" w:lineRule="auto"/>
        <w:rPr>
          <w:rFonts w:ascii="黑体" w:eastAsia="黑体"/>
          <w:b/>
          <w:szCs w:val="21"/>
        </w:rPr>
      </w:pPr>
    </w:p>
    <w:p>
      <w:pPr>
        <w:jc w:val="center"/>
        <w:rPr>
          <w:b/>
          <w:szCs w:val="18"/>
        </w:rPr>
      </w:pPr>
      <w:r>
        <w:rPr>
          <w:rFonts w:hint="eastAsia"/>
          <w:b/>
          <w:sz w:val="28"/>
          <w:szCs w:val="28"/>
        </w:rPr>
        <w:t>符合性审查表</w:t>
      </w:r>
      <w:r>
        <w:rPr>
          <w:rFonts w:hint="eastAsia"/>
          <w:b/>
          <w:szCs w:val="18"/>
        </w:rPr>
        <w:t>表</w:t>
      </w:r>
    </w:p>
    <w:tbl>
      <w:tblPr>
        <w:tblStyle w:val="9"/>
        <w:tblW w:w="9293" w:type="dxa"/>
        <w:jc w:val="center"/>
        <w:tblInd w:w="0" w:type="dxa"/>
        <w:tblLayout w:type="fixed"/>
        <w:tblCellMar>
          <w:top w:w="0" w:type="dxa"/>
          <w:left w:w="108" w:type="dxa"/>
          <w:bottom w:w="0" w:type="dxa"/>
          <w:right w:w="108" w:type="dxa"/>
        </w:tblCellMar>
      </w:tblPr>
      <w:tblGrid>
        <w:gridCol w:w="868"/>
        <w:gridCol w:w="4969"/>
        <w:gridCol w:w="860"/>
        <w:gridCol w:w="869"/>
        <w:gridCol w:w="869"/>
        <w:gridCol w:w="858"/>
      </w:tblGrid>
      <w:tr>
        <w:tblPrEx>
          <w:tblLayout w:type="fixed"/>
          <w:tblCellMar>
            <w:top w:w="0" w:type="dxa"/>
            <w:left w:w="108" w:type="dxa"/>
            <w:bottom w:w="0" w:type="dxa"/>
            <w:right w:w="108" w:type="dxa"/>
          </w:tblCellMar>
        </w:tblPrEx>
        <w:trPr>
          <w:trHeight w:val="284" w:hRule="atLeast"/>
          <w:jc w:val="center"/>
        </w:trPr>
        <w:tc>
          <w:tcPr>
            <w:tcW w:w="868" w:type="dxa"/>
            <w:tcBorders>
              <w:top w:val="single" w:color="auto" w:sz="4" w:space="0"/>
              <w:left w:val="single" w:color="auto" w:sz="4" w:space="0"/>
              <w:bottom w:val="single" w:color="auto" w:sz="4" w:space="0"/>
              <w:right w:val="single" w:color="auto" w:sz="4" w:space="0"/>
            </w:tcBorders>
            <w:vAlign w:val="center"/>
          </w:tcPr>
          <w:p>
            <w:pPr>
              <w:snapToGrid w:val="0"/>
              <w:jc w:val="center"/>
              <w:rPr>
                <w:b/>
                <w:bCs/>
                <w:szCs w:val="21"/>
              </w:rPr>
            </w:pPr>
            <w:r>
              <w:rPr>
                <w:rFonts w:hint="eastAsia"/>
                <w:b/>
                <w:bCs/>
              </w:rPr>
              <w:t>审查项目</w:t>
            </w:r>
          </w:p>
        </w:tc>
        <w:tc>
          <w:tcPr>
            <w:tcW w:w="4969" w:type="dxa"/>
            <w:tcBorders>
              <w:top w:val="single" w:color="auto" w:sz="4" w:space="0"/>
              <w:left w:val="nil"/>
              <w:bottom w:val="single" w:color="auto" w:sz="4" w:space="0"/>
              <w:right w:val="single" w:color="auto" w:sz="4" w:space="0"/>
            </w:tcBorders>
            <w:vAlign w:val="center"/>
          </w:tcPr>
          <w:p>
            <w:pPr>
              <w:snapToGrid w:val="0"/>
              <w:jc w:val="center"/>
              <w:rPr>
                <w:b/>
                <w:bCs/>
                <w:szCs w:val="21"/>
              </w:rPr>
            </w:pPr>
            <w:r>
              <w:rPr>
                <w:rFonts w:hint="eastAsia"/>
                <w:b/>
                <w:bCs/>
              </w:rPr>
              <w:t>要求</w:t>
            </w:r>
          </w:p>
        </w:tc>
        <w:tc>
          <w:tcPr>
            <w:tcW w:w="860" w:type="dxa"/>
            <w:tcBorders>
              <w:top w:val="single" w:color="auto" w:sz="4" w:space="0"/>
              <w:left w:val="nil"/>
              <w:bottom w:val="single" w:color="auto" w:sz="4" w:space="0"/>
              <w:right w:val="single" w:color="auto" w:sz="4" w:space="0"/>
            </w:tcBorders>
            <w:vAlign w:val="center"/>
          </w:tcPr>
          <w:p>
            <w:pPr>
              <w:spacing w:line="260" w:lineRule="exact"/>
              <w:jc w:val="center"/>
              <w:rPr>
                <w:b/>
                <w:bCs/>
                <w:szCs w:val="21"/>
              </w:rPr>
            </w:pPr>
            <w:r>
              <w:rPr>
                <w:rFonts w:hint="eastAsia"/>
                <w:b/>
                <w:bCs/>
              </w:rPr>
              <w:t>报价人A</w:t>
            </w:r>
          </w:p>
        </w:tc>
        <w:tc>
          <w:tcPr>
            <w:tcW w:w="869" w:type="dxa"/>
            <w:tcBorders>
              <w:top w:val="single" w:color="auto" w:sz="4" w:space="0"/>
              <w:left w:val="nil"/>
              <w:bottom w:val="single" w:color="auto" w:sz="4" w:space="0"/>
              <w:right w:val="single" w:color="auto" w:sz="4" w:space="0"/>
            </w:tcBorders>
            <w:vAlign w:val="center"/>
          </w:tcPr>
          <w:p>
            <w:pPr>
              <w:spacing w:line="260" w:lineRule="exact"/>
              <w:jc w:val="center"/>
              <w:rPr>
                <w:b/>
                <w:bCs/>
                <w:szCs w:val="21"/>
              </w:rPr>
            </w:pPr>
            <w:r>
              <w:rPr>
                <w:rFonts w:hint="eastAsia"/>
                <w:b/>
                <w:bCs/>
              </w:rPr>
              <w:t>报价人B</w:t>
            </w:r>
          </w:p>
        </w:tc>
        <w:tc>
          <w:tcPr>
            <w:tcW w:w="869" w:type="dxa"/>
            <w:tcBorders>
              <w:top w:val="single" w:color="auto" w:sz="4" w:space="0"/>
              <w:left w:val="nil"/>
              <w:bottom w:val="single" w:color="auto" w:sz="4" w:space="0"/>
              <w:right w:val="single" w:color="auto" w:sz="4" w:space="0"/>
            </w:tcBorders>
            <w:vAlign w:val="center"/>
          </w:tcPr>
          <w:p>
            <w:pPr>
              <w:spacing w:line="260" w:lineRule="exact"/>
              <w:jc w:val="center"/>
              <w:rPr>
                <w:b/>
                <w:bCs/>
                <w:szCs w:val="21"/>
              </w:rPr>
            </w:pPr>
            <w:r>
              <w:rPr>
                <w:rFonts w:hint="eastAsia"/>
                <w:b/>
                <w:bCs/>
              </w:rPr>
              <w:t>报价人C</w:t>
            </w:r>
          </w:p>
        </w:tc>
        <w:tc>
          <w:tcPr>
            <w:tcW w:w="858" w:type="dxa"/>
            <w:tcBorders>
              <w:top w:val="single" w:color="auto" w:sz="4" w:space="0"/>
              <w:left w:val="nil"/>
              <w:bottom w:val="single" w:color="auto" w:sz="4" w:space="0"/>
              <w:right w:val="single" w:color="auto" w:sz="4" w:space="0"/>
            </w:tcBorders>
            <w:vAlign w:val="center"/>
          </w:tcPr>
          <w:p>
            <w:pPr>
              <w:spacing w:line="260" w:lineRule="exact"/>
              <w:jc w:val="center"/>
              <w:rPr>
                <w:b/>
                <w:bCs/>
              </w:rPr>
            </w:pPr>
            <w:r>
              <w:rPr>
                <w:rFonts w:hint="eastAsia"/>
                <w:b/>
                <w:bCs/>
              </w:rPr>
              <w:t>报价人D</w:t>
            </w:r>
          </w:p>
        </w:tc>
      </w:tr>
      <w:tr>
        <w:tblPrEx>
          <w:tblLayout w:type="fixed"/>
          <w:tblCellMar>
            <w:top w:w="0" w:type="dxa"/>
            <w:left w:w="108" w:type="dxa"/>
            <w:bottom w:w="0" w:type="dxa"/>
            <w:right w:w="108" w:type="dxa"/>
          </w:tblCellMar>
        </w:tblPrEx>
        <w:trPr>
          <w:trHeight w:val="284" w:hRule="atLeast"/>
          <w:jc w:val="center"/>
        </w:trPr>
        <w:tc>
          <w:tcPr>
            <w:tcW w:w="868" w:type="dxa"/>
            <w:vMerge w:val="restart"/>
            <w:tcBorders>
              <w:top w:val="single" w:color="auto" w:sz="4" w:space="0"/>
              <w:left w:val="single" w:color="auto" w:sz="4" w:space="0"/>
              <w:right w:val="single" w:color="auto" w:sz="4" w:space="0"/>
            </w:tcBorders>
            <w:vAlign w:val="center"/>
          </w:tcPr>
          <w:p>
            <w:pPr>
              <w:snapToGrid w:val="0"/>
              <w:jc w:val="center"/>
              <w:rPr>
                <w:szCs w:val="21"/>
              </w:rPr>
            </w:pPr>
            <w:r>
              <w:rPr>
                <w:rFonts w:hint="eastAsia"/>
              </w:rPr>
              <w:t>符合性审查</w:t>
            </w:r>
          </w:p>
        </w:tc>
        <w:tc>
          <w:tcPr>
            <w:tcW w:w="4969" w:type="dxa"/>
            <w:tcBorders>
              <w:top w:val="single" w:color="auto" w:sz="4" w:space="0"/>
              <w:left w:val="nil"/>
              <w:bottom w:val="single" w:color="auto" w:sz="4" w:space="0"/>
              <w:right w:val="single" w:color="auto" w:sz="4" w:space="0"/>
            </w:tcBorders>
            <w:vAlign w:val="center"/>
          </w:tcPr>
          <w:p>
            <w:pPr>
              <w:rPr>
                <w:szCs w:val="21"/>
              </w:rPr>
            </w:pPr>
            <w:r>
              <w:rPr>
                <w:rFonts w:hint="eastAsia"/>
              </w:rPr>
              <w:t>1.符合比选文件中合格报价人的要求</w:t>
            </w:r>
          </w:p>
        </w:tc>
        <w:tc>
          <w:tcPr>
            <w:tcW w:w="860" w:type="dxa"/>
            <w:tcBorders>
              <w:top w:val="single" w:color="auto" w:sz="4" w:space="0"/>
              <w:left w:val="nil"/>
              <w:bottom w:val="single" w:color="auto" w:sz="4" w:space="0"/>
              <w:right w:val="single" w:color="auto" w:sz="4" w:space="0"/>
            </w:tcBorders>
            <w:vAlign w:val="center"/>
          </w:tcPr>
          <w:p>
            <w:pPr>
              <w:rPr>
                <w:szCs w:val="21"/>
              </w:rPr>
            </w:pPr>
          </w:p>
        </w:tc>
        <w:tc>
          <w:tcPr>
            <w:tcW w:w="869" w:type="dxa"/>
            <w:tcBorders>
              <w:top w:val="single" w:color="auto" w:sz="4" w:space="0"/>
              <w:left w:val="nil"/>
              <w:bottom w:val="single" w:color="auto" w:sz="4" w:space="0"/>
              <w:right w:val="single" w:color="auto" w:sz="4" w:space="0"/>
            </w:tcBorders>
            <w:vAlign w:val="center"/>
          </w:tcPr>
          <w:p>
            <w:pPr>
              <w:rPr>
                <w:szCs w:val="21"/>
              </w:rPr>
            </w:pPr>
          </w:p>
        </w:tc>
        <w:tc>
          <w:tcPr>
            <w:tcW w:w="869" w:type="dxa"/>
            <w:tcBorders>
              <w:top w:val="single" w:color="auto" w:sz="4" w:space="0"/>
              <w:left w:val="nil"/>
              <w:bottom w:val="single" w:color="auto" w:sz="4" w:space="0"/>
              <w:right w:val="single" w:color="auto" w:sz="4" w:space="0"/>
            </w:tcBorders>
            <w:vAlign w:val="center"/>
          </w:tcPr>
          <w:p>
            <w:pPr>
              <w:rPr>
                <w:szCs w:val="21"/>
              </w:rPr>
            </w:pPr>
          </w:p>
        </w:tc>
        <w:tc>
          <w:tcPr>
            <w:tcW w:w="858" w:type="dxa"/>
            <w:tcBorders>
              <w:top w:val="single" w:color="auto" w:sz="4" w:space="0"/>
              <w:left w:val="nil"/>
              <w:bottom w:val="single" w:color="auto" w:sz="4" w:space="0"/>
              <w:right w:val="single" w:color="auto" w:sz="4" w:space="0"/>
            </w:tcBorders>
            <w:vAlign w:val="center"/>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snapToGrid w:val="0"/>
              <w:jc w:val="cente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2.参选文件份数符合比选文件要求</w:t>
            </w:r>
            <w:r>
              <w:rPr>
                <w:rFonts w:hint="eastAsia"/>
                <w:i/>
                <w:iCs/>
              </w:rPr>
              <w:t>。</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3.对报价项目的关键、主要服务内容，报价人没有报价漏项。</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4.报价文件盖章、签字有效。</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 xml:space="preserve">5.报价文件按规定提供有效的法定代表人证明书原件或法定代表人授权委托书原件； </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6.报价文件按规定的格式、内容和要求填报。</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868" w:type="dxa"/>
            <w:vMerge w:val="continue"/>
            <w:tcBorders>
              <w:left w:val="single" w:color="auto" w:sz="4" w:space="0"/>
              <w:bottom w:val="single" w:color="auto" w:sz="4" w:space="0"/>
              <w:right w:val="single" w:color="auto" w:sz="4" w:space="0"/>
            </w:tcBorders>
            <w:vAlign w:val="center"/>
          </w:tcPr>
          <w:p>
            <w:pPr>
              <w:rPr>
                <w:szCs w:val="21"/>
              </w:rPr>
            </w:pPr>
          </w:p>
        </w:tc>
        <w:tc>
          <w:tcPr>
            <w:tcW w:w="4969" w:type="dxa"/>
            <w:tcBorders>
              <w:top w:val="single" w:color="auto" w:sz="4" w:space="0"/>
              <w:left w:val="nil"/>
              <w:bottom w:val="single" w:color="auto" w:sz="4" w:space="0"/>
              <w:right w:val="single" w:color="auto" w:sz="4" w:space="0"/>
            </w:tcBorders>
            <w:vAlign w:val="center"/>
          </w:tcPr>
          <w:p>
            <w:pPr>
              <w:snapToGrid w:val="0"/>
              <w:rPr>
                <w:szCs w:val="21"/>
              </w:rPr>
            </w:pPr>
            <w:r>
              <w:rPr>
                <w:rFonts w:hint="eastAsia"/>
              </w:rPr>
              <w:t>7.其他。</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r>
        <w:tblPrEx>
          <w:tblLayout w:type="fixed"/>
          <w:tblCellMar>
            <w:top w:w="0" w:type="dxa"/>
            <w:left w:w="108" w:type="dxa"/>
            <w:bottom w:w="0" w:type="dxa"/>
            <w:right w:w="108" w:type="dxa"/>
          </w:tblCellMar>
        </w:tblPrEx>
        <w:trPr>
          <w:trHeight w:val="284" w:hRule="atLeast"/>
          <w:jc w:val="center"/>
        </w:trPr>
        <w:tc>
          <w:tcPr>
            <w:tcW w:w="5837" w:type="dxa"/>
            <w:gridSpan w:val="2"/>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rPr>
                <w:rFonts w:hint="eastAsia"/>
              </w:rPr>
              <w:t>结论</w:t>
            </w:r>
          </w:p>
        </w:tc>
        <w:tc>
          <w:tcPr>
            <w:tcW w:w="860"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69" w:type="dxa"/>
            <w:tcBorders>
              <w:top w:val="single" w:color="auto" w:sz="4" w:space="0"/>
              <w:left w:val="nil"/>
              <w:bottom w:val="single" w:color="auto" w:sz="4" w:space="0"/>
              <w:right w:val="single" w:color="auto" w:sz="4" w:space="0"/>
            </w:tcBorders>
            <w:vAlign w:val="top"/>
          </w:tcPr>
          <w:p>
            <w:pPr>
              <w:rPr>
                <w:szCs w:val="21"/>
              </w:rPr>
            </w:pPr>
          </w:p>
        </w:tc>
        <w:tc>
          <w:tcPr>
            <w:tcW w:w="858" w:type="dxa"/>
            <w:tcBorders>
              <w:top w:val="single" w:color="auto" w:sz="4" w:space="0"/>
              <w:left w:val="nil"/>
              <w:bottom w:val="single" w:color="auto" w:sz="4" w:space="0"/>
              <w:right w:val="single" w:color="auto" w:sz="4" w:space="0"/>
            </w:tcBorders>
            <w:vAlign w:val="top"/>
          </w:tcPr>
          <w:p>
            <w:pPr>
              <w:rPr>
                <w:szCs w:val="21"/>
              </w:rPr>
            </w:pPr>
          </w:p>
        </w:tc>
      </w:tr>
    </w:tbl>
    <w:p>
      <w:pPr>
        <w:adjustRightInd w:val="0"/>
        <w:snapToGrid w:val="0"/>
        <w:spacing w:line="360" w:lineRule="auto"/>
        <w:rPr>
          <w:rFonts w:cs="宋体"/>
          <w:bCs/>
          <w:szCs w:val="21"/>
        </w:rPr>
      </w:pPr>
      <w:r>
        <w:rPr>
          <w:rFonts w:hint="eastAsia" w:cs="宋体"/>
          <w:bCs/>
          <w:szCs w:val="21"/>
        </w:rPr>
        <w:t>注：1.报价人分栏中填写“√”表示该项符合比选文件要求，“×”表示该项不符合比选文件要求，“○”表示无该项内容；</w:t>
      </w:r>
    </w:p>
    <w:p>
      <w:pPr>
        <w:adjustRightInd w:val="0"/>
        <w:snapToGrid w:val="0"/>
        <w:spacing w:line="360" w:lineRule="auto"/>
        <w:rPr>
          <w:rFonts w:cs="宋体"/>
          <w:bCs/>
          <w:szCs w:val="21"/>
        </w:rPr>
      </w:pPr>
      <w:r>
        <w:rPr>
          <w:rFonts w:hint="eastAsia" w:cs="宋体"/>
          <w:bCs/>
          <w:szCs w:val="21"/>
        </w:rPr>
        <w:t>2.结论栏中填写“通过”表示该报价人报价文件符合比选文件要求，“不通过”表示该报价人报价文件不符合比选文件要求。</w:t>
      </w:r>
    </w:p>
    <w:p>
      <w:pPr>
        <w:adjustRightInd w:val="0"/>
        <w:snapToGrid w:val="0"/>
        <w:spacing w:line="360" w:lineRule="auto"/>
        <w:rPr>
          <w:rFonts w:cs="宋体"/>
          <w:bCs/>
          <w:szCs w:val="21"/>
        </w:rPr>
      </w:pPr>
    </w:p>
    <w:p>
      <w:pPr>
        <w:adjustRightInd w:val="0"/>
        <w:snapToGrid w:val="0"/>
        <w:spacing w:line="360" w:lineRule="auto"/>
        <w:rPr>
          <w:rFonts w:cs="宋体"/>
          <w:bCs/>
          <w:szCs w:val="21"/>
        </w:rPr>
      </w:pPr>
      <w:r>
        <w:rPr>
          <w:rFonts w:hint="eastAsia" w:cs="宋体"/>
          <w:bCs/>
          <w:szCs w:val="21"/>
        </w:rPr>
        <w:t xml:space="preserve">评委集体签名：               </w:t>
      </w:r>
    </w:p>
    <w:p>
      <w:pPr>
        <w:adjustRightInd w:val="0"/>
        <w:snapToGrid w:val="0"/>
        <w:spacing w:line="360" w:lineRule="auto"/>
      </w:pPr>
      <w:r>
        <w:rPr>
          <w:rFonts w:hint="eastAsia" w:cs="宋体"/>
          <w:bCs/>
          <w:szCs w:val="21"/>
        </w:rPr>
        <w:t>签 名  日 期：    年   月   日</w:t>
      </w:r>
      <w:bookmarkStart w:id="144" w:name="_GoBack"/>
      <w:bookmarkEnd w:id="144"/>
    </w:p>
    <w:sectPr>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黑体">
    <w:panose1 w:val="02010609060101010101"/>
    <w:charset w:val="86"/>
    <w:family w:val="modern"/>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Courier New">
    <w:panose1 w:val="02070309020205020404"/>
    <w:charset w:val="00"/>
    <w:family w:val="modern"/>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inherit">
    <w:altName w:val="Cambria"/>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889635" cy="16446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89635" cy="164465"/>
                      </a:xfrm>
                      <a:prstGeom prst="rect">
                        <a:avLst/>
                      </a:prstGeom>
                      <a:noFill/>
                      <a:ln>
                        <a:noFill/>
                      </a:ln>
                      <a:effectLst/>
                    </wps:spPr>
                    <wps:txbx>
                      <w:txbxContent>
                        <w:p>
                          <w:pPr>
                            <w:pStyle w:val="5"/>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w:t>
                          </w:r>
                          <w:r>
                            <w:rPr>
                              <w:kern w:val="0"/>
                              <w:szCs w:val="21"/>
                            </w:rPr>
                            <w:t xml:space="preserve"> </w:t>
                          </w:r>
                          <w:r>
                            <w:rPr>
                              <w:rFonts w:hint="eastAsia"/>
                              <w:kern w:val="0"/>
                              <w:szCs w:val="21"/>
                            </w:rPr>
                            <w:t>共</w:t>
                          </w:r>
                          <w:r>
                            <w:t>25</w:t>
                          </w:r>
                          <w:r>
                            <w:rPr>
                              <w:rFonts w:hint="eastAsia"/>
                              <w:kern w:val="0"/>
                              <w:szCs w:val="21"/>
                            </w:rPr>
                            <w:t>页</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95pt;width:70.05pt;mso-position-horizontal:center;mso-position-horizontal-relative:margin;mso-wrap-style:none;z-index:251658240;mso-width-relative:page;mso-height-relative:page;" filled="f" stroked="f" coordsize="21600,21600" o:gfxdata="UEsDBAoAAAAAAIdO4kAAAAAAAAAAAAAAAAAEAAAAZHJzL1BLAwQUAAAACACHTuJAlsVLSNIAAAAE&#10;AQAADwAAAGRycy9kb3ducmV2LnhtbE2PwW7CMBBE75X4B2uReit2UGlpGocDEpfeoBVSbyZe4gh7&#10;HdkmJH9f00t7WWk0o5m31WZ0lg0YYudJQrEQwJAarztqJXx97p7WwGJSpJX1hBImjLCpZw+VKrW/&#10;0R6HQ2pZLqFYKgkmpb7kPDYGnYoL3yNl7+yDUynL0HId1C2XO8uXQrxwpzrKC0b1uDXYXA5XJ+F1&#10;PHrsI27x+zw0wXTT2n5MUj7OC/EOLOGY/sJwx8/oUGemk7+SjsxKyI+k33v3nkUB7CRhuXoDXlf8&#10;P3z9A1BLAwQUAAAACACHTuJAa4sirPUBAADCAwAADgAAAGRycy9lMm9Eb2MueG1srVPNjtMwEL4j&#10;8Q6W7zTt0q1K1HS17KoIafmRFh7AcZzEIvFYY7dJeQB4A0574c5z9TkYO0lZ4Ia4WGN75vN833ze&#10;XPVtww4KnQaT8cVszpkyEgptqox//LB7tubMeWEK0YBRGT8qx6+2T59sOpuqC6ihKRQyAjEu7WzG&#10;a+9tmiRO1qoVbgZWGbosAVvhaYtVUqDoCL1tkov5fJV0gIVFkMo5Or0dLvk24pelkv5dWTrlWZNx&#10;6s3HFeOahzXZbkRaobC1lmMb4h+6aIU29OgZ6lZ4wfao/4JqtURwUPqZhDaBstRSRQ7EZjH/g819&#10;LayKXEgcZ88yuf8HK98e3iPTRcaXnBnR0ohO376eHn6cvn9hyyBPZ11KWfeW8nz/Enoac6Tq7B3I&#10;T44ZuKmFqdQ1InS1EgW1twiVyaPSAccFkLx7AwW9I/YeIlBfYhu0IzUYodOYjufRqN4zSYfr9YvV&#10;80vOJF0tVsvl6jK+INKp2KLzrxS0LAQZR5p8BBeHO+dDMyKdUsJbBna6aeL0G/PbASUOJyraZ6wO&#10;VEL3Aw/f5/0oTQ7FkUghDNair0BBDfiZs45slXFDvueseW1IluDAKcApyKdAGEmFGfecDeGNH5y6&#10;t6irmnAn4a9Jup2OtEJjQw+j4GSUyHY0dXDi433M+vX1tj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lsVLSNIAAAAEAQAADwAAAAAAAAABACAAAAAiAAAAZHJzL2Rvd25yZXYueG1sUEsBAhQAFAAA&#10;AAgAh07iQGuLIqz1AQAAwgMAAA4AAAAAAAAAAQAgAAAAIQEAAGRycy9lMm9Eb2MueG1sUEsFBgAA&#10;AAAGAAYAWQEAAIgFAAAAAA==&#10;">
              <v:fill on="f" focussize="0,0"/>
              <v:stroke on="f"/>
              <v:imagedata o:title=""/>
              <o:lock v:ext="edit" aspectratio="f"/>
              <v:textbox inset="0mm,0mm,0mm,0mm" style="mso-fit-shape-to-text:t;">
                <w:txbxContent>
                  <w:p>
                    <w:pPr>
                      <w:pStyle w:val="5"/>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w:t>
                    </w:r>
                    <w:r>
                      <w:rPr>
                        <w:kern w:val="0"/>
                        <w:szCs w:val="21"/>
                      </w:rPr>
                      <w:t xml:space="preserve"> </w:t>
                    </w:r>
                    <w:r>
                      <w:rPr>
                        <w:rFonts w:hint="eastAsia"/>
                        <w:kern w:val="0"/>
                        <w:szCs w:val="21"/>
                      </w:rPr>
                      <w:t>共</w:t>
                    </w:r>
                    <w:r>
                      <w:t>25</w:t>
                    </w:r>
                    <w:r>
                      <w:rPr>
                        <w:rFonts w:hint="eastAsia"/>
                        <w:kern w:val="0"/>
                        <w:szCs w:val="21"/>
                      </w:rPr>
                      <w:t>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16635" cy="164465"/>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016635" cy="164465"/>
                      </a:xfrm>
                      <a:prstGeom prst="rect">
                        <a:avLst/>
                      </a:prstGeom>
                      <a:noFill/>
                      <a:ln>
                        <a:noFill/>
                      </a:ln>
                      <a:effectLst/>
                    </wps:spPr>
                    <wps:txbx>
                      <w:txbxContent>
                        <w:p>
                          <w:pPr>
                            <w:pStyle w:val="5"/>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44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25</w:t>
                          </w:r>
                          <w:r>
                            <w:rPr>
                              <w:rFonts w:hint="eastAsia"/>
                              <w:kern w:val="0"/>
                              <w:szCs w:val="21"/>
                            </w:rPr>
                            <w:t>页</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95pt;width:80.05pt;mso-position-horizontal:center;mso-position-horizontal-relative:margin;mso-wrap-style:none;z-index:251659264;mso-width-relative:page;mso-height-relative:page;" filled="f" stroked="f" coordsize="21600,21600" o:gfxdata="UEsDBAoAAAAAAIdO4kAAAAAAAAAAAAAAAAAEAAAAZHJzL1BLAwQUAAAACACHTuJA3ndEjtIAAAAE&#10;AQAADwAAAGRycy9kb3ducmV2LnhtbE2PwW7CMBBE75X4B2uReit2kEohxOGAxKW30qoSNxMvcYS9&#10;jmwTkr+v6aW9rDSa0czbajc6ywYMsfMkoVgIYEiN1x21Er4+Dy9rYDEp0sp6QgkTRtjVs6dKldrf&#10;6QOHY2pZLqFYKgkmpb7kPDYGnYoL3yNl7+KDUynL0HId1D2XO8uXQqy4Ux3lBaN63Btsrsebk/A2&#10;fnvsI+7xdBmaYLppbd8nKZ/nhdgCSzimvzA88DM61Jnp7G+kI7MS8iPp9z68lSiAnSUsXzfA64r/&#10;h69/AFBLAwQUAAAACACHTuJATa0PUfQBAADDAwAADgAAAGRycy9lMm9Eb2MueG1srVPNjtMwEL4j&#10;8Q6W7zTtdrdCUdPVsqsipOVHWngAx3ESi9hjjd0m5QHgDThx4c5z9TkYO01Z4Ia4WBN75pv5vvmy&#10;vh5Mx/YKvQZb8MVszpmyEiptm4J/eL999pwzH4StRAdWFfygPL/ePH2y7l2uLqCFrlLICMT6vHcF&#10;b0NweZZ52Soj/AycsvRYAxoR6BObrELRE7rpsov5fJX1gJVDkMp7ur0bH/km4de1kuFtXXsVWFdw&#10;mi2kE9NZxjPbrEXeoHCtlqcxxD9MYYS21PQMdSeCYDvUf0EZLRE81GEmwWRQ11qqxIHYLOZ/sHlo&#10;hVOJC4nj3Vkm//9g5Zv9O2S6KviSMysMrej49cvx24/j989sGeXpnc8p68FRXhhewEBrTlS9uwf5&#10;0TMLt62wjbpBhL5VoqLxFrEye1Q64vgIUvavoaI+YhcgAQ01mqgdqcEIndZ0OK9GDYHJ2HK+WK2W&#10;V5xJelusLi9XV6mFyKdqhz68VGBYDAqOtPqELvb3PsRpRD6lxGYWtrrr0vo7+9sFJY43KvnnVB25&#10;xPFHImEoh5M2JVQHYoUweov+BQpawE+c9eSrglsyPmfdK0u6RAtOAU5BOQXCSioseOBsDG/DaNWd&#10;Q920hDspf0PabXWiFQcbZzgpTk5JbE+ujlZ8/J2yfv17m5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ed0SO0gAAAAQBAAAPAAAAAAAAAAEAIAAAACIAAABkcnMvZG93bnJldi54bWxQSwECFAAUAAAA&#10;CACHTuJATa0PUfQBAADDAwAADgAAAAAAAAABACAAAAAhAQAAZHJzL2Uyb0RvYy54bWxQSwUGAAAA&#10;AAYABgBZAQAAhwUAAAAA&#10;">
              <v:fill on="f" focussize="0,0"/>
              <v:stroke on="f"/>
              <v:imagedata o:title=""/>
              <o:lock v:ext="edit" aspectratio="f"/>
              <v:textbox inset="0mm,0mm,0mm,0mm" style="mso-fit-shape-to-text:t;">
                <w:txbxContent>
                  <w:p>
                    <w:pPr>
                      <w:pStyle w:val="5"/>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44</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25</w:t>
                    </w:r>
                    <w:r>
                      <w:rPr>
                        <w:rFonts w:hint="eastAsia"/>
                        <w:kern w:val="0"/>
                        <w:szCs w:val="21"/>
                      </w:rPr>
                      <w:t>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52793067">
    <w:nsid w:val="6E6F60EB"/>
    <w:multiLevelType w:val="multilevel"/>
    <w:tmpl w:val="6E6F60EB"/>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8">
    <w:nsid w:val="6E6F60EC"/>
    <w:multiLevelType w:val="multilevel"/>
    <w:tmpl w:val="6E6F60EC"/>
    <w:lvl w:ilvl="0" w:tentative="1">
      <w:start w:val="1"/>
      <w:numFmt w:val="decimal"/>
      <w:lvlText w:val="（%1）"/>
      <w:lvlJc w:val="left"/>
      <w:pPr>
        <w:ind w:left="900" w:hanging="420"/>
      </w:pPr>
      <w:rPr>
        <w:rFonts w:hint="default"/>
      </w:rPr>
    </w:lvl>
    <w:lvl w:ilvl="1" w:tentative="1">
      <w:start w:val="1"/>
      <w:numFmt w:val="decimal"/>
      <w:lvlText w:val="（%2）"/>
      <w:lvlJc w:val="left"/>
      <w:pPr>
        <w:ind w:left="1211" w:hanging="36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3">
    <w:nsid w:val="6E6F60E7"/>
    <w:multiLevelType w:val="multilevel"/>
    <w:tmpl w:val="6E6F60E7"/>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4">
    <w:nsid w:val="6E6F60E8"/>
    <w:multiLevelType w:val="multilevel"/>
    <w:tmpl w:val="6E6F60E8"/>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5">
    <w:nsid w:val="6E6F60E9"/>
    <w:multiLevelType w:val="multilevel"/>
    <w:tmpl w:val="6E6F60E9"/>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6">
    <w:nsid w:val="6E6F60EA"/>
    <w:multiLevelType w:val="multilevel"/>
    <w:tmpl w:val="6E6F60EA"/>
    <w:lvl w:ilvl="0" w:tentative="1">
      <w:start w:val="1"/>
      <w:numFmt w:val="decimal"/>
      <w:lvlText w:val="（%1）"/>
      <w:lvlJc w:val="left"/>
      <w:pPr>
        <w:ind w:left="900" w:hanging="420"/>
      </w:pPr>
      <w:rPr>
        <w:rFonts w:hint="default"/>
      </w:rPr>
    </w:lvl>
    <w:lvl w:ilvl="1" w:tentative="1">
      <w:start w:val="1"/>
      <w:numFmt w:val="decimal"/>
      <w:lvlText w:val="%2、"/>
      <w:lvlJc w:val="left"/>
      <w:pPr>
        <w:ind w:left="1710" w:hanging="81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5">
    <w:nsid w:val="00000019"/>
    <w:multiLevelType w:val="multilevel"/>
    <w:tmpl w:val="00000019"/>
    <w:lvl w:ilvl="0" w:tentative="1">
      <w:start w:val="1"/>
      <w:numFmt w:val="decimal"/>
      <w:lvlText w:val="（%1）"/>
      <w:lvlJc w:val="left"/>
      <w:pPr>
        <w:tabs>
          <w:tab w:val="left" w:pos="0"/>
        </w:tabs>
        <w:ind w:left="0"/>
      </w:pPr>
      <w:rPr>
        <w:rFonts w:ascii="宋体" w:hAnsi="宋体" w:eastAsia="宋体" w:cs="Times New Roman"/>
        <w:b w:val="0"/>
      </w:rPr>
    </w:lvl>
    <w:lvl w:ilvl="1" w:tentative="1">
      <w:start w:val="1"/>
      <w:numFmt w:val="lowerLetter"/>
      <w:lvlText w:val="%2)"/>
      <w:lvlJc w:val="left"/>
      <w:pPr>
        <w:tabs>
          <w:tab w:val="left" w:pos="895"/>
        </w:tabs>
        <w:ind w:left="895" w:hanging="420"/>
      </w:pPr>
      <w:rPr>
        <w:rFonts w:cs="Times New Roman"/>
      </w:rPr>
    </w:lvl>
    <w:lvl w:ilvl="2" w:tentative="1">
      <w:start w:val="1"/>
      <w:numFmt w:val="lowerRoman"/>
      <w:lvlText w:val="%3."/>
      <w:lvlJc w:val="right"/>
      <w:pPr>
        <w:tabs>
          <w:tab w:val="left" w:pos="1315"/>
        </w:tabs>
        <w:ind w:left="1315" w:hanging="420"/>
      </w:pPr>
      <w:rPr>
        <w:rFonts w:cs="Times New Roman"/>
      </w:rPr>
    </w:lvl>
    <w:lvl w:ilvl="3" w:tentative="1">
      <w:start w:val="1"/>
      <w:numFmt w:val="decimal"/>
      <w:lvlText w:val="%4."/>
      <w:lvlJc w:val="left"/>
      <w:pPr>
        <w:tabs>
          <w:tab w:val="left" w:pos="1735"/>
        </w:tabs>
        <w:ind w:left="1735" w:hanging="420"/>
      </w:pPr>
      <w:rPr>
        <w:rFonts w:cs="Times New Roman"/>
      </w:rPr>
    </w:lvl>
    <w:lvl w:ilvl="4" w:tentative="1">
      <w:start w:val="1"/>
      <w:numFmt w:val="lowerLetter"/>
      <w:lvlText w:val="%5)"/>
      <w:lvlJc w:val="left"/>
      <w:pPr>
        <w:tabs>
          <w:tab w:val="left" w:pos="2155"/>
        </w:tabs>
        <w:ind w:left="2155" w:hanging="420"/>
      </w:pPr>
      <w:rPr>
        <w:rFonts w:cs="Times New Roman"/>
      </w:rPr>
    </w:lvl>
    <w:lvl w:ilvl="5" w:tentative="1">
      <w:start w:val="1"/>
      <w:numFmt w:val="lowerRoman"/>
      <w:lvlText w:val="%6."/>
      <w:lvlJc w:val="right"/>
      <w:pPr>
        <w:tabs>
          <w:tab w:val="left" w:pos="2575"/>
        </w:tabs>
        <w:ind w:left="2575" w:hanging="420"/>
      </w:pPr>
      <w:rPr>
        <w:rFonts w:cs="Times New Roman"/>
      </w:rPr>
    </w:lvl>
    <w:lvl w:ilvl="6" w:tentative="1">
      <w:start w:val="1"/>
      <w:numFmt w:val="decimal"/>
      <w:lvlText w:val="%7."/>
      <w:lvlJc w:val="left"/>
      <w:pPr>
        <w:tabs>
          <w:tab w:val="left" w:pos="2995"/>
        </w:tabs>
        <w:ind w:left="2995" w:hanging="420"/>
      </w:pPr>
      <w:rPr>
        <w:rFonts w:cs="Times New Roman"/>
      </w:rPr>
    </w:lvl>
    <w:lvl w:ilvl="7" w:tentative="1">
      <w:start w:val="1"/>
      <w:numFmt w:val="lowerLetter"/>
      <w:lvlText w:val="%8)"/>
      <w:lvlJc w:val="left"/>
      <w:pPr>
        <w:tabs>
          <w:tab w:val="left" w:pos="3415"/>
        </w:tabs>
        <w:ind w:left="3415" w:hanging="420"/>
      </w:pPr>
      <w:rPr>
        <w:rFonts w:cs="Times New Roman"/>
      </w:rPr>
    </w:lvl>
    <w:lvl w:ilvl="8" w:tentative="1">
      <w:start w:val="1"/>
      <w:numFmt w:val="lowerRoman"/>
      <w:lvlText w:val="%9."/>
      <w:lvlJc w:val="right"/>
      <w:pPr>
        <w:tabs>
          <w:tab w:val="left" w:pos="3835"/>
        </w:tabs>
        <w:ind w:left="3835" w:hanging="420"/>
      </w:pPr>
      <w:rPr>
        <w:rFonts w:cs="Times New Roman"/>
      </w:rPr>
    </w:lvl>
  </w:abstractNum>
  <w:abstractNum w:abstractNumId="10">
    <w:nsid w:val="0000000A"/>
    <w:multiLevelType w:val="multilevel"/>
    <w:tmpl w:val="0000000A"/>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0">
    <w:nsid w:val="00000014"/>
    <w:multiLevelType w:val="multilevel"/>
    <w:tmpl w:val="00000014"/>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13">
    <w:nsid w:val="0000000D"/>
    <w:multiLevelType w:val="multilevel"/>
    <w:tmpl w:val="0000000D"/>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9">
    <w:nsid w:val="0000001D"/>
    <w:multiLevelType w:val="multilevel"/>
    <w:tmpl w:val="0000001D"/>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4">
    <w:nsid w:val="00000018"/>
    <w:multiLevelType w:val="multilevel"/>
    <w:tmpl w:val="00000018"/>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27">
    <w:nsid w:val="0000001B"/>
    <w:multiLevelType w:val="multilevel"/>
    <w:tmpl w:val="0000001B"/>
    <w:lvl w:ilvl="0" w:tentative="1">
      <w:start w:val="1"/>
      <w:numFmt w:val="decimal"/>
      <w:lvlText w:val="%1、"/>
      <w:lvlJc w:val="left"/>
      <w:pPr>
        <w:tabs>
          <w:tab w:val="left" w:pos="420"/>
        </w:tabs>
        <w:ind w:left="874" w:hanging="454"/>
      </w:pPr>
      <w:rPr>
        <w:rFonts w:hint="default"/>
        <w:b/>
        <w:sz w:val="24"/>
        <w:szCs w:val="24"/>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927036293">
    <w:nsid w:val="37417385"/>
    <w:multiLevelType w:val="multilevel"/>
    <w:tmpl w:val="37417385"/>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1760827775">
    <w:nsid w:val="68F4197F"/>
    <w:multiLevelType w:val="multilevel"/>
    <w:tmpl w:val="68F4197F"/>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43112198">
    <w:nsid w:val="1A695B06"/>
    <w:multiLevelType w:val="multilevel"/>
    <w:tmpl w:val="1A695B06"/>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69">
    <w:nsid w:val="6E6F60ED"/>
    <w:multiLevelType w:val="multilevel"/>
    <w:tmpl w:val="6E6F60ED"/>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71">
    <w:nsid w:val="6E6F60EF"/>
    <w:multiLevelType w:val="multilevel"/>
    <w:tmpl w:val="6E6F60EF"/>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70">
    <w:nsid w:val="6E6F60EE"/>
    <w:multiLevelType w:val="multilevel"/>
    <w:tmpl w:val="6E6F60EE"/>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852793072">
    <w:nsid w:val="6E6F60F0"/>
    <w:multiLevelType w:val="multilevel"/>
    <w:tmpl w:val="6E6F60F0"/>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8">
    <w:nsid w:val="00000026"/>
    <w:multiLevelType w:val="multilevel"/>
    <w:tmpl w:val="00000026"/>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14">
    <w:nsid w:val="0000000E"/>
    <w:multiLevelType w:val="multilevel"/>
    <w:tmpl w:val="0000000E"/>
    <w:lvl w:ilvl="0" w:tentative="1">
      <w:start w:val="1"/>
      <w:numFmt w:val="chineseCountingThousand"/>
      <w:lvlText w:val="(%1)"/>
      <w:lvlJc w:val="left"/>
      <w:pPr>
        <w:tabs>
          <w:tab w:val="left" w:pos="856"/>
        </w:tabs>
        <w:ind w:left="856" w:hanging="420"/>
      </w:pPr>
      <w:rPr>
        <w:rFonts w:hint="eastAsia"/>
      </w:rPr>
    </w:lvl>
    <w:lvl w:ilvl="1" w:tentative="1">
      <w:start w:val="1"/>
      <w:numFmt w:val="decimal"/>
      <w:lvlText w:val="%2）"/>
      <w:lvlJc w:val="left"/>
      <w:pPr>
        <w:tabs>
          <w:tab w:val="left" w:pos="780"/>
        </w:tabs>
        <w:ind w:left="780" w:hanging="360"/>
      </w:pPr>
      <w:rPr>
        <w:rFonts w:hint="eastAsia"/>
      </w:rPr>
    </w:lvl>
    <w:lvl w:ilvl="2" w:tentative="1">
      <w:start w:val="1"/>
      <w:numFmt w:val="decimal"/>
      <w:lvlText w:val="%3."/>
      <w:lvlJc w:val="left"/>
      <w:pPr>
        <w:tabs>
          <w:tab w:val="left" w:pos="1260"/>
        </w:tabs>
        <w:ind w:left="1260" w:hanging="420"/>
      </w:pPr>
      <w:rPr>
        <w:rFonts w:hint="eastAsia"/>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853766562">
    <w:nsid w:val="32E371A2"/>
    <w:multiLevelType w:val="multilevel"/>
    <w:tmpl w:val="32E371A2"/>
    <w:lvl w:ilvl="0" w:tentative="1">
      <w:start w:val="1"/>
      <w:numFmt w:val="decimal"/>
      <w:lvlText w:val="%1、"/>
      <w:lvlJc w:val="left"/>
      <w:pPr>
        <w:ind w:left="795" w:hanging="360"/>
      </w:pPr>
      <w:rPr>
        <w:rFonts w:hint="default"/>
      </w:rPr>
    </w:lvl>
    <w:lvl w:ilvl="1" w:tentative="1">
      <w:start w:val="1"/>
      <w:numFmt w:val="lowerLetter"/>
      <w:lvlText w:val="%2)"/>
      <w:lvlJc w:val="left"/>
      <w:pPr>
        <w:ind w:left="1275" w:hanging="420"/>
      </w:pPr>
    </w:lvl>
    <w:lvl w:ilvl="2" w:tentative="1">
      <w:start w:val="1"/>
      <w:numFmt w:val="lowerRoman"/>
      <w:lvlText w:val="%3."/>
      <w:lvlJc w:val="right"/>
      <w:pPr>
        <w:ind w:left="1695" w:hanging="420"/>
      </w:pPr>
    </w:lvl>
    <w:lvl w:ilvl="3" w:tentative="1">
      <w:start w:val="1"/>
      <w:numFmt w:val="decimal"/>
      <w:lvlText w:val="%4."/>
      <w:lvlJc w:val="left"/>
      <w:pPr>
        <w:ind w:left="2115" w:hanging="420"/>
      </w:pPr>
    </w:lvl>
    <w:lvl w:ilvl="4" w:tentative="1">
      <w:start w:val="1"/>
      <w:numFmt w:val="lowerLetter"/>
      <w:lvlText w:val="%5)"/>
      <w:lvlJc w:val="left"/>
      <w:pPr>
        <w:ind w:left="2535" w:hanging="420"/>
      </w:pPr>
    </w:lvl>
    <w:lvl w:ilvl="5" w:tentative="1">
      <w:start w:val="1"/>
      <w:numFmt w:val="lowerRoman"/>
      <w:lvlText w:val="%6."/>
      <w:lvlJc w:val="right"/>
      <w:pPr>
        <w:ind w:left="2955" w:hanging="420"/>
      </w:pPr>
    </w:lvl>
    <w:lvl w:ilvl="6" w:tentative="1">
      <w:start w:val="1"/>
      <w:numFmt w:val="decimal"/>
      <w:lvlText w:val="%7."/>
      <w:lvlJc w:val="left"/>
      <w:pPr>
        <w:ind w:left="3375" w:hanging="420"/>
      </w:pPr>
    </w:lvl>
    <w:lvl w:ilvl="7" w:tentative="1">
      <w:start w:val="1"/>
      <w:numFmt w:val="lowerLetter"/>
      <w:lvlText w:val="%8)"/>
      <w:lvlJc w:val="left"/>
      <w:pPr>
        <w:ind w:left="3795" w:hanging="420"/>
      </w:pPr>
    </w:lvl>
    <w:lvl w:ilvl="8" w:tentative="1">
      <w:start w:val="1"/>
      <w:numFmt w:val="lowerRoman"/>
      <w:lvlText w:val="%9."/>
      <w:lvlJc w:val="right"/>
      <w:pPr>
        <w:ind w:left="4215" w:hanging="420"/>
      </w:pPr>
    </w:lvl>
  </w:abstractNum>
  <w:abstractNum w:abstractNumId="12">
    <w:nsid w:val="0000000C"/>
    <w:multiLevelType w:val="multilevel"/>
    <w:tmpl w:val="0000000C"/>
    <w:lvl w:ilvl="0" w:tentative="1">
      <w:start w:val="1"/>
      <w:numFmt w:val="chineseCountingThousand"/>
      <w:lvlText w:val="(%1)"/>
      <w:lvlJc w:val="left"/>
      <w:pPr>
        <w:tabs>
          <w:tab w:val="left" w:pos="747"/>
        </w:tabs>
        <w:ind w:left="747" w:hanging="420"/>
      </w:pPr>
      <w:rPr>
        <w:rFonts w:hint="eastAsia"/>
      </w:rPr>
    </w:lvl>
    <w:lvl w:ilvl="1" w:tentative="1">
      <w:start w:val="1"/>
      <w:numFmt w:val="decimal"/>
      <w:lvlText w:val="%2）"/>
      <w:lvlJc w:val="left"/>
      <w:pPr>
        <w:tabs>
          <w:tab w:val="left" w:pos="780"/>
        </w:tabs>
        <w:ind w:left="780" w:hanging="360"/>
      </w:pPr>
      <w:rPr>
        <w:rFonts w:hint="eastAsia"/>
      </w:rPr>
    </w:lvl>
    <w:lvl w:ilvl="2" w:tentative="1">
      <w:start w:val="1"/>
      <w:numFmt w:val="decimal"/>
      <w:lvlText w:val="%3."/>
      <w:lvlJc w:val="left"/>
      <w:pPr>
        <w:tabs>
          <w:tab w:val="left" w:pos="1260"/>
        </w:tabs>
        <w:ind w:left="1260" w:hanging="420"/>
      </w:pPr>
      <w:rPr>
        <w:rFonts w:hint="eastAsia"/>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953584335">
    <w:nsid w:val="747154CF"/>
    <w:multiLevelType w:val="multilevel"/>
    <w:tmpl w:val="747154CF"/>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614484916">
    <w:nsid w:val="24A04BB4"/>
    <w:multiLevelType w:val="multilevel"/>
    <w:tmpl w:val="24A04BB4"/>
    <w:lvl w:ilvl="0" w:tentative="1">
      <w:start w:val="1"/>
      <w:numFmt w:val="decimal"/>
      <w:lvlText w:val="（%1）"/>
      <w:lvlJc w:val="left"/>
      <w:pPr>
        <w:ind w:left="900" w:hanging="420"/>
      </w:pPr>
      <w:rPr>
        <w:rFonts w:hint="default"/>
      </w:rPr>
    </w:lvl>
    <w:lvl w:ilvl="1" w:tentative="1">
      <w:start w:val="1"/>
      <w:numFmt w:val="decimal"/>
      <w:lvlText w:val="（%2）"/>
      <w:lvlJc w:val="left"/>
      <w:pPr>
        <w:ind w:left="1211" w:hanging="36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2">
    <w:nsid w:val="00000016"/>
    <w:multiLevelType w:val="multilevel"/>
    <w:tmpl w:val="00000016"/>
    <w:lvl w:ilvl="0" w:tentative="1">
      <w:start w:val="1"/>
      <w:numFmt w:val="chineseCountingThousand"/>
      <w:lvlText w:val="第%1章"/>
      <w:lvlJc w:val="left"/>
      <w:pPr>
        <w:tabs>
          <w:tab w:val="left" w:pos="4716"/>
        </w:tabs>
        <w:ind w:left="4716" w:hanging="1455"/>
      </w:pPr>
      <w:rPr>
        <w:rFonts w:hint="eastAsia" w:cs="Times New Roman"/>
        <w:b/>
        <w:sz w:val="30"/>
        <w:szCs w:val="30"/>
      </w:rPr>
    </w:lvl>
    <w:lvl w:ilvl="1" w:tentative="1">
      <w:start w:val="1"/>
      <w:numFmt w:val="lowerLetter"/>
      <w:lvlText w:val="%2)"/>
      <w:lvlJc w:val="left"/>
      <w:pPr>
        <w:ind w:left="1124" w:hanging="420"/>
      </w:pPr>
      <w:rPr>
        <w:rFonts w:cs="Times New Roman"/>
      </w:rPr>
    </w:lvl>
    <w:lvl w:ilvl="2" w:tentative="1">
      <w:start w:val="1"/>
      <w:numFmt w:val="lowerRoman"/>
      <w:lvlText w:val="%3."/>
      <w:lvlJc w:val="right"/>
      <w:pPr>
        <w:ind w:left="1544" w:hanging="420"/>
      </w:pPr>
      <w:rPr>
        <w:rFonts w:cs="Times New Roman"/>
      </w:rPr>
    </w:lvl>
    <w:lvl w:ilvl="3" w:tentative="1">
      <w:start w:val="1"/>
      <w:numFmt w:val="decimal"/>
      <w:lvlText w:val="%4."/>
      <w:lvlJc w:val="left"/>
      <w:pPr>
        <w:ind w:left="1964" w:hanging="420"/>
      </w:pPr>
      <w:rPr>
        <w:rFonts w:cs="Times New Roman"/>
      </w:rPr>
    </w:lvl>
    <w:lvl w:ilvl="4" w:tentative="1">
      <w:start w:val="1"/>
      <w:numFmt w:val="lowerLetter"/>
      <w:lvlText w:val="%5)"/>
      <w:lvlJc w:val="left"/>
      <w:pPr>
        <w:ind w:left="2384" w:hanging="420"/>
      </w:pPr>
      <w:rPr>
        <w:rFonts w:cs="Times New Roman"/>
      </w:rPr>
    </w:lvl>
    <w:lvl w:ilvl="5" w:tentative="1">
      <w:start w:val="1"/>
      <w:numFmt w:val="lowerRoman"/>
      <w:lvlText w:val="%6."/>
      <w:lvlJc w:val="right"/>
      <w:pPr>
        <w:ind w:left="2804" w:hanging="420"/>
      </w:pPr>
      <w:rPr>
        <w:rFonts w:cs="Times New Roman"/>
      </w:rPr>
    </w:lvl>
    <w:lvl w:ilvl="6" w:tentative="1">
      <w:start w:val="1"/>
      <w:numFmt w:val="decimal"/>
      <w:lvlText w:val="%7."/>
      <w:lvlJc w:val="left"/>
      <w:pPr>
        <w:ind w:left="3224" w:hanging="420"/>
      </w:pPr>
      <w:rPr>
        <w:rFonts w:cs="Times New Roman"/>
      </w:rPr>
    </w:lvl>
    <w:lvl w:ilvl="7" w:tentative="1">
      <w:start w:val="1"/>
      <w:numFmt w:val="lowerLetter"/>
      <w:lvlText w:val="%8)"/>
      <w:lvlJc w:val="left"/>
      <w:pPr>
        <w:ind w:left="3644" w:hanging="420"/>
      </w:pPr>
      <w:rPr>
        <w:rFonts w:cs="Times New Roman"/>
      </w:rPr>
    </w:lvl>
    <w:lvl w:ilvl="8" w:tentative="1">
      <w:start w:val="1"/>
      <w:numFmt w:val="lowerRoman"/>
      <w:lvlText w:val="%9."/>
      <w:lvlJc w:val="right"/>
      <w:pPr>
        <w:ind w:left="4064" w:hanging="420"/>
      </w:pPr>
      <w:rPr>
        <w:rFonts w:cs="Times New Roman"/>
      </w:rPr>
    </w:lvl>
  </w:abstractNum>
  <w:abstractNum w:abstractNumId="16">
    <w:nsid w:val="00000010"/>
    <w:multiLevelType w:val="multilevel"/>
    <w:tmpl w:val="00000010"/>
    <w:lvl w:ilvl="0" w:tentative="1">
      <w:start w:val="1"/>
      <w:numFmt w:val="japaneseCounting"/>
      <w:lvlText w:val="%1、"/>
      <w:lvlJc w:val="left"/>
      <w:pPr>
        <w:tabs>
          <w:tab w:val="left" w:pos="450"/>
        </w:tabs>
        <w:ind w:left="450" w:hanging="450"/>
      </w:pPr>
      <w:rPr>
        <w:rFonts w:hint="default"/>
        <w:b/>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30">
    <w:nsid w:val="0000001E"/>
    <w:multiLevelType w:val="multilevel"/>
    <w:tmpl w:val="0000001E"/>
    <w:lvl w:ilvl="0" w:tentative="1">
      <w:start w:val="1"/>
      <w:numFmt w:val="chineseCountingThousand"/>
      <w:lvlText w:val="(%1)"/>
      <w:lvlJc w:val="left"/>
      <w:pPr>
        <w:tabs>
          <w:tab w:val="left" w:pos="900"/>
        </w:tabs>
        <w:ind w:left="900" w:hanging="42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967005664">
    <w:nsid w:val="39A355E0"/>
    <w:multiLevelType w:val="multilevel"/>
    <w:tmpl w:val="39A355E0"/>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7712323">
    <w:nsid w:val="0CFA06C3"/>
    <w:multiLevelType w:val="multilevel"/>
    <w:tmpl w:val="0CFA06C3"/>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00000012"/>
    <w:multiLevelType w:val="multilevel"/>
    <w:tmpl w:val="00000012"/>
    <w:lvl w:ilvl="0" w:tentative="1">
      <w:start w:val="1"/>
      <w:numFmt w:val="decimal"/>
      <w:lvlText w:val="%1、"/>
      <w:lvlJc w:val="left"/>
      <w:pPr>
        <w:tabs>
          <w:tab w:val="left" w:pos="780"/>
        </w:tabs>
        <w:ind w:left="780" w:hanging="360"/>
      </w:pPr>
      <w:rPr>
        <w:rFonts w:hint="eastAsia"/>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abstractNum w:abstractNumId="417599205">
    <w:nsid w:val="18E40EE5"/>
    <w:multiLevelType w:val="multilevel"/>
    <w:tmpl w:val="18E40EE5"/>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024744400">
    <w:nsid w:val="3D145BD0"/>
    <w:multiLevelType w:val="multilevel"/>
    <w:tmpl w:val="3D145BD0"/>
    <w:lvl w:ilvl="0" w:tentative="1">
      <w:start w:val="1"/>
      <w:numFmt w:val="decimal"/>
      <w:lvlText w:val="（%1）"/>
      <w:lvlJc w:val="left"/>
      <w:pPr>
        <w:ind w:left="900" w:hanging="420"/>
      </w:pPr>
      <w:rPr>
        <w:rFonts w:hint="default"/>
      </w:rPr>
    </w:lvl>
    <w:lvl w:ilvl="1" w:tentative="1">
      <w:start w:val="1"/>
      <w:numFmt w:val="decimal"/>
      <w:lvlText w:val="%2、"/>
      <w:lvlJc w:val="left"/>
      <w:pPr>
        <w:ind w:left="1710" w:hanging="81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287548005">
    <w:nsid w:val="4CBE6C65"/>
    <w:multiLevelType w:val="multilevel"/>
    <w:tmpl w:val="4CBE6C65"/>
    <w:lvl w:ilvl="0" w:tentative="1">
      <w:start w:val="1"/>
      <w:numFmt w:val="decimal"/>
      <w:lvlText w:val="（%1）"/>
      <w:lvlJc w:val="left"/>
      <w:pPr>
        <w:ind w:left="900" w:hanging="420"/>
      </w:pPr>
      <w:rPr>
        <w:rFonts w:hint="default"/>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560530107">
    <w:nsid w:val="216902BB"/>
    <w:multiLevelType w:val="multilevel"/>
    <w:tmpl w:val="216902BB"/>
    <w:lvl w:ilvl="0" w:tentative="1">
      <w:start w:val="1"/>
      <w:numFmt w:val="decimal"/>
      <w:lvlText w:val="（%1）"/>
      <w:lvlJc w:val="left"/>
      <w:pPr>
        <w:ind w:left="1211" w:hanging="420"/>
      </w:pPr>
      <w:rPr>
        <w:rFonts w:hint="default"/>
      </w:rPr>
    </w:lvl>
    <w:lvl w:ilvl="1" w:tentative="1">
      <w:start w:val="1"/>
      <w:numFmt w:val="lowerLetter"/>
      <w:lvlText w:val="%2)"/>
      <w:lvlJc w:val="left"/>
      <w:pPr>
        <w:ind w:left="1151" w:hanging="420"/>
      </w:pPr>
    </w:lvl>
    <w:lvl w:ilvl="2" w:tentative="1">
      <w:start w:val="1"/>
      <w:numFmt w:val="lowerRoman"/>
      <w:lvlText w:val="%3."/>
      <w:lvlJc w:val="right"/>
      <w:pPr>
        <w:ind w:left="1571" w:hanging="420"/>
      </w:pPr>
    </w:lvl>
    <w:lvl w:ilvl="3" w:tentative="1">
      <w:start w:val="1"/>
      <w:numFmt w:val="decimal"/>
      <w:lvlText w:val="%4."/>
      <w:lvlJc w:val="left"/>
      <w:pPr>
        <w:ind w:left="1991" w:hanging="420"/>
      </w:pPr>
    </w:lvl>
    <w:lvl w:ilvl="4" w:tentative="1">
      <w:start w:val="1"/>
      <w:numFmt w:val="lowerLetter"/>
      <w:lvlText w:val="%5)"/>
      <w:lvlJc w:val="left"/>
      <w:pPr>
        <w:ind w:left="2411" w:hanging="420"/>
      </w:pPr>
    </w:lvl>
    <w:lvl w:ilvl="5" w:tentative="1">
      <w:start w:val="1"/>
      <w:numFmt w:val="lowerRoman"/>
      <w:lvlText w:val="%6."/>
      <w:lvlJc w:val="right"/>
      <w:pPr>
        <w:ind w:left="2831" w:hanging="420"/>
      </w:pPr>
    </w:lvl>
    <w:lvl w:ilvl="6" w:tentative="1">
      <w:start w:val="1"/>
      <w:numFmt w:val="decimal"/>
      <w:lvlText w:val="%7."/>
      <w:lvlJc w:val="left"/>
      <w:pPr>
        <w:ind w:left="3251" w:hanging="420"/>
      </w:pPr>
    </w:lvl>
    <w:lvl w:ilvl="7" w:tentative="1">
      <w:start w:val="1"/>
      <w:numFmt w:val="lowerLetter"/>
      <w:lvlText w:val="%8)"/>
      <w:lvlJc w:val="left"/>
      <w:pPr>
        <w:ind w:left="3671" w:hanging="420"/>
      </w:pPr>
    </w:lvl>
    <w:lvl w:ilvl="8" w:tentative="1">
      <w:start w:val="1"/>
      <w:numFmt w:val="lowerRoman"/>
      <w:lvlText w:val="%9."/>
      <w:lvlJc w:val="right"/>
      <w:pPr>
        <w:ind w:left="4091" w:hanging="420"/>
      </w:pPr>
    </w:lvl>
  </w:abstractNum>
  <w:abstractNum w:abstractNumId="2119060660">
    <w:nsid w:val="7E4E4CB4"/>
    <w:multiLevelType w:val="multilevel"/>
    <w:tmpl w:val="7E4E4CB4"/>
    <w:lvl w:ilvl="0" w:tentative="1">
      <w:start w:val="1"/>
      <w:numFmt w:val="decimal"/>
      <w:lvlText w:val="（%1）"/>
      <w:lvlJc w:val="left"/>
      <w:pPr>
        <w:ind w:left="1271" w:hanging="420"/>
      </w:pPr>
      <w:rPr>
        <w:rFonts w:hint="default"/>
      </w:rPr>
    </w:lvl>
    <w:lvl w:ilvl="1" w:tentative="1">
      <w:start w:val="1"/>
      <w:numFmt w:val="lowerLetter"/>
      <w:lvlText w:val="%2)"/>
      <w:lvlJc w:val="left"/>
      <w:pPr>
        <w:ind w:left="1211" w:hanging="420"/>
      </w:pPr>
    </w:lvl>
    <w:lvl w:ilvl="2" w:tentative="1">
      <w:start w:val="1"/>
      <w:numFmt w:val="lowerRoman"/>
      <w:lvlText w:val="%3."/>
      <w:lvlJc w:val="right"/>
      <w:pPr>
        <w:ind w:left="1631" w:hanging="420"/>
      </w:pPr>
    </w:lvl>
    <w:lvl w:ilvl="3" w:tentative="1">
      <w:start w:val="1"/>
      <w:numFmt w:val="decimal"/>
      <w:lvlText w:val="%4."/>
      <w:lvlJc w:val="left"/>
      <w:pPr>
        <w:ind w:left="2051" w:hanging="420"/>
      </w:pPr>
    </w:lvl>
    <w:lvl w:ilvl="4" w:tentative="1">
      <w:start w:val="1"/>
      <w:numFmt w:val="lowerLetter"/>
      <w:lvlText w:val="%5)"/>
      <w:lvlJc w:val="left"/>
      <w:pPr>
        <w:ind w:left="2471" w:hanging="420"/>
      </w:pPr>
    </w:lvl>
    <w:lvl w:ilvl="5" w:tentative="1">
      <w:start w:val="1"/>
      <w:numFmt w:val="lowerRoman"/>
      <w:lvlText w:val="%6."/>
      <w:lvlJc w:val="right"/>
      <w:pPr>
        <w:ind w:left="2891" w:hanging="420"/>
      </w:pPr>
    </w:lvl>
    <w:lvl w:ilvl="6" w:tentative="1">
      <w:start w:val="1"/>
      <w:numFmt w:val="decimal"/>
      <w:lvlText w:val="%7."/>
      <w:lvlJc w:val="left"/>
      <w:pPr>
        <w:ind w:left="3311" w:hanging="420"/>
      </w:pPr>
    </w:lvl>
    <w:lvl w:ilvl="7" w:tentative="1">
      <w:start w:val="1"/>
      <w:numFmt w:val="lowerLetter"/>
      <w:lvlText w:val="%8)"/>
      <w:lvlJc w:val="left"/>
      <w:pPr>
        <w:ind w:left="3731" w:hanging="420"/>
      </w:pPr>
    </w:lvl>
    <w:lvl w:ilvl="8" w:tentative="1">
      <w:start w:val="1"/>
      <w:numFmt w:val="lowerRoman"/>
      <w:lvlText w:val="%9."/>
      <w:lvlJc w:val="right"/>
      <w:pPr>
        <w:ind w:left="4151" w:hanging="420"/>
      </w:pPr>
    </w:lvl>
  </w:abstractNum>
  <w:abstractNum w:abstractNumId="2014456210">
    <w:nsid w:val="78122992"/>
    <w:multiLevelType w:val="multilevel"/>
    <w:tmpl w:val="78122992"/>
    <w:lvl w:ilvl="0" w:tentative="1">
      <w:start w:val="1"/>
      <w:numFmt w:val="decimal"/>
      <w:lvlText w:val="（%1）"/>
      <w:lvlJc w:val="left"/>
      <w:pPr>
        <w:ind w:left="1271" w:hanging="420"/>
      </w:pPr>
      <w:rPr>
        <w:rFonts w:hint="default"/>
      </w:rPr>
    </w:lvl>
    <w:lvl w:ilvl="1" w:tentative="1">
      <w:start w:val="1"/>
      <w:numFmt w:val="lowerLetter"/>
      <w:lvlText w:val="%2)"/>
      <w:lvlJc w:val="left"/>
      <w:pPr>
        <w:ind w:left="1211" w:hanging="420"/>
      </w:pPr>
    </w:lvl>
    <w:lvl w:ilvl="2" w:tentative="1">
      <w:start w:val="1"/>
      <w:numFmt w:val="lowerRoman"/>
      <w:lvlText w:val="%3."/>
      <w:lvlJc w:val="right"/>
      <w:pPr>
        <w:ind w:left="1631" w:hanging="420"/>
      </w:pPr>
    </w:lvl>
    <w:lvl w:ilvl="3" w:tentative="1">
      <w:start w:val="1"/>
      <w:numFmt w:val="decimal"/>
      <w:lvlText w:val="%4."/>
      <w:lvlJc w:val="left"/>
      <w:pPr>
        <w:ind w:left="2051" w:hanging="420"/>
      </w:pPr>
    </w:lvl>
    <w:lvl w:ilvl="4" w:tentative="1">
      <w:start w:val="1"/>
      <w:numFmt w:val="lowerLetter"/>
      <w:lvlText w:val="%5)"/>
      <w:lvlJc w:val="left"/>
      <w:pPr>
        <w:ind w:left="2471" w:hanging="420"/>
      </w:pPr>
    </w:lvl>
    <w:lvl w:ilvl="5" w:tentative="1">
      <w:start w:val="1"/>
      <w:numFmt w:val="lowerRoman"/>
      <w:lvlText w:val="%6."/>
      <w:lvlJc w:val="right"/>
      <w:pPr>
        <w:ind w:left="2891" w:hanging="420"/>
      </w:pPr>
    </w:lvl>
    <w:lvl w:ilvl="6" w:tentative="1">
      <w:start w:val="1"/>
      <w:numFmt w:val="decimal"/>
      <w:lvlText w:val="%7."/>
      <w:lvlJc w:val="left"/>
      <w:pPr>
        <w:ind w:left="3311" w:hanging="420"/>
      </w:pPr>
    </w:lvl>
    <w:lvl w:ilvl="7" w:tentative="1">
      <w:start w:val="1"/>
      <w:numFmt w:val="lowerLetter"/>
      <w:lvlText w:val="%8)"/>
      <w:lvlJc w:val="left"/>
      <w:pPr>
        <w:ind w:left="3731" w:hanging="420"/>
      </w:pPr>
    </w:lvl>
    <w:lvl w:ilvl="8" w:tentative="1">
      <w:start w:val="1"/>
      <w:numFmt w:val="lowerRoman"/>
      <w:lvlText w:val="%9."/>
      <w:lvlJc w:val="right"/>
      <w:pPr>
        <w:ind w:left="4151" w:hanging="420"/>
      </w:pPr>
    </w:lvl>
  </w:abstractNum>
  <w:abstractNum w:abstractNumId="16275284">
    <w:nsid w:val="00F85754"/>
    <w:multiLevelType w:val="multilevel"/>
    <w:tmpl w:val="00F85754"/>
    <w:lvl w:ilvl="0" w:tentative="1">
      <w:start w:val="1"/>
      <w:numFmt w:val="decimal"/>
      <w:lvlText w:val="（%1）"/>
      <w:lvlJc w:val="left"/>
      <w:pPr>
        <w:ind w:left="900" w:hanging="420"/>
      </w:pPr>
      <w:rPr>
        <w:rFonts w:hint="default"/>
      </w:rPr>
    </w:lvl>
    <w:lvl w:ilvl="1" w:tentative="1">
      <w:start w:val="1"/>
      <w:numFmt w:val="decimal"/>
      <w:lvlText w:val="（%2）"/>
      <w:lvlJc w:val="left"/>
      <w:pPr>
        <w:ind w:left="1320" w:hanging="420"/>
      </w:pPr>
      <w:rPr>
        <w:rFonts w:hint="default"/>
      </w:r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num w:numId="1">
    <w:abstractNumId w:val="22"/>
  </w:num>
  <w:num w:numId="2">
    <w:abstractNumId w:val="16"/>
  </w:num>
  <w:num w:numId="3">
    <w:abstractNumId w:val="30"/>
  </w:num>
  <w:num w:numId="4">
    <w:abstractNumId w:val="1852793063"/>
  </w:num>
  <w:num w:numId="5">
    <w:abstractNumId w:val="1852793064"/>
  </w:num>
  <w:num w:numId="6">
    <w:abstractNumId w:val="1852793065"/>
  </w:num>
  <w:num w:numId="7">
    <w:abstractNumId w:val="1852793066"/>
  </w:num>
  <w:num w:numId="8">
    <w:abstractNumId w:val="1852793067"/>
  </w:num>
  <w:num w:numId="9">
    <w:abstractNumId w:val="1852793068"/>
  </w:num>
  <w:num w:numId="10">
    <w:abstractNumId w:val="1852793069"/>
  </w:num>
  <w:num w:numId="11">
    <w:abstractNumId w:val="1852793070"/>
  </w:num>
  <w:num w:numId="12">
    <w:abstractNumId w:val="1852793071"/>
  </w:num>
  <w:num w:numId="13">
    <w:abstractNumId w:val="1852793072"/>
  </w:num>
  <w:num w:numId="14">
    <w:abstractNumId w:val="853766562"/>
  </w:num>
  <w:num w:numId="15">
    <w:abstractNumId w:val="12"/>
  </w:num>
  <w:num w:numId="16">
    <w:abstractNumId w:val="38"/>
  </w:num>
  <w:num w:numId="17">
    <w:abstractNumId w:val="14"/>
  </w:num>
  <w:num w:numId="18">
    <w:abstractNumId w:val="29"/>
  </w:num>
  <w:num w:numId="19">
    <w:abstractNumId w:val="24"/>
  </w:num>
  <w:num w:numId="20">
    <w:abstractNumId w:val="25"/>
  </w:num>
  <w:num w:numId="21">
    <w:abstractNumId w:val="13"/>
  </w:num>
  <w:num w:numId="22">
    <w:abstractNumId w:val="10"/>
  </w:num>
  <w:num w:numId="23">
    <w:abstractNumId w:val="20"/>
  </w:num>
  <w:num w:numId="24">
    <w:abstractNumId w:val="927036293"/>
  </w:num>
  <w:num w:numId="25">
    <w:abstractNumId w:val="1760827775"/>
  </w:num>
  <w:num w:numId="26">
    <w:abstractNumId w:val="217712323"/>
  </w:num>
  <w:num w:numId="27">
    <w:abstractNumId w:val="967005664"/>
  </w:num>
  <w:num w:numId="28">
    <w:abstractNumId w:val="18"/>
  </w:num>
  <w:num w:numId="29">
    <w:abstractNumId w:val="27"/>
  </w:num>
  <w:num w:numId="30">
    <w:abstractNumId w:val="417599205"/>
  </w:num>
  <w:num w:numId="31">
    <w:abstractNumId w:val="443112198"/>
  </w:num>
  <w:num w:numId="32">
    <w:abstractNumId w:val="1287548005"/>
  </w:num>
  <w:num w:numId="33">
    <w:abstractNumId w:val="1024744400"/>
  </w:num>
  <w:num w:numId="34">
    <w:abstractNumId w:val="1953584335"/>
  </w:num>
  <w:num w:numId="35">
    <w:abstractNumId w:val="614484916"/>
  </w:num>
  <w:num w:numId="36">
    <w:abstractNumId w:val="2119060660"/>
  </w:num>
  <w:num w:numId="37">
    <w:abstractNumId w:val="560530107"/>
  </w:num>
  <w:num w:numId="38">
    <w:abstractNumId w:val="16275284"/>
  </w:num>
  <w:num w:numId="39">
    <w:abstractNumId w:val="20144562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7E609C"/>
    <w:rsid w:val="0A622BC7"/>
    <w:rsid w:val="4723112F"/>
    <w:rsid w:val="59C458D7"/>
    <w:rsid w:val="637E609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7">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uiPriority w:val="0"/>
    <w:pPr>
      <w:spacing w:line="340" w:lineRule="exact"/>
      <w:jc w:val="center"/>
    </w:pPr>
    <w:rPr>
      <w:rFonts w:ascii="仿宋_GB2312" w:hAnsi="Times New Roman" w:eastAsia="仿宋_GB2312"/>
      <w:kern w:val="0"/>
      <w:sz w:val="20"/>
      <w:szCs w:val="20"/>
    </w:rPr>
  </w:style>
  <w:style w:type="paragraph" w:styleId="3">
    <w:name w:val="Plain Text"/>
    <w:basedOn w:val="1"/>
    <w:uiPriority w:val="0"/>
    <w:rPr>
      <w:rFonts w:ascii="宋体" w:hAnsi="Courier New"/>
      <w:kern w:val="0"/>
      <w:sz w:val="20"/>
      <w:szCs w:val="21"/>
    </w:rPr>
  </w:style>
  <w:style w:type="paragraph" w:styleId="4">
    <w:name w:val="Body Text Indent 2"/>
    <w:basedOn w:val="1"/>
    <w:uiPriority w:val="0"/>
    <w:pPr>
      <w:spacing w:line="580" w:lineRule="exact"/>
      <w:ind w:firstLine="560" w:firstLineChars="200"/>
    </w:pPr>
    <w:rPr>
      <w:rFonts w:ascii="仿宋_GB2312" w:hAnsi="Times New Roman" w:eastAsia="仿宋_GB2312"/>
      <w:kern w:val="0"/>
      <w:sz w:val="24"/>
      <w:szCs w:val="24"/>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8">
    <w:name w:val="Hyperlink"/>
    <w:uiPriority w:val="0"/>
    <w:rPr>
      <w:rFonts w:cs="Times New Roman"/>
      <w:color w:val="0000FF"/>
      <w:u w:val="single"/>
    </w:rPr>
  </w:style>
  <w:style w:type="paragraph" w:customStyle="1" w:styleId="10">
    <w:name w:val="1正文"/>
    <w:basedOn w:val="1"/>
    <w:qFormat/>
    <w:uiPriority w:val="0"/>
    <w:pPr>
      <w:ind w:firstLine="560" w:firstLineChars="200"/>
      <w:jc w:val="left"/>
    </w:pPr>
    <w:rPr>
      <w:rFonts w:ascii="仿宋_GB2312" w:hAnsi="黑体" w:eastAsia="仿宋_GB2312"/>
      <w:kern w:val="0"/>
      <w:sz w:val="28"/>
      <w:szCs w:val="28"/>
    </w:rPr>
  </w:style>
  <w:style w:type="paragraph" w:customStyle="1" w:styleId="11">
    <w:name w:val="_Style 30"/>
    <w:basedOn w:val="1"/>
    <w:next w:val="1"/>
    <w:qFormat/>
    <w:uiPriority w:val="0"/>
    <w:pPr>
      <w:ind w:left="1470"/>
      <w:jc w:val="left"/>
    </w:pPr>
    <w:rPr>
      <w:rFonts w:ascii="Calibri" w:hAnsi="Calibri" w:eastAsia="宋体" w:cs="Times New Roman"/>
      <w:sz w:val="18"/>
      <w:szCs w:val="18"/>
    </w:rPr>
  </w:style>
  <w:style w:type="paragraph" w:customStyle="1" w:styleId="12">
    <w:name w:val="标题 4_0"/>
    <w:basedOn w:val="13"/>
    <w:next w:val="1"/>
    <w:qFormat/>
    <w:locked/>
    <w:uiPriority w:val="0"/>
    <w:pPr>
      <w:autoSpaceDE w:val="0"/>
      <w:autoSpaceDN w:val="0"/>
      <w:adjustRightInd w:val="0"/>
      <w:snapToGrid w:val="0"/>
      <w:spacing w:line="360" w:lineRule="auto"/>
      <w:outlineLvl w:val="3"/>
    </w:pPr>
    <w:rPr>
      <w:rFonts w:ascii="宋体" w:hAnsi="Arial" w:cs="宋体"/>
      <w:color w:val="000000"/>
    </w:rPr>
  </w:style>
  <w:style w:type="paragraph" w:customStyle="1" w:styleId="13">
    <w:name w:val="正文_0_0"/>
    <w:qFormat/>
    <w:locked/>
    <w:uiPriority w:val="0"/>
    <w:pPr>
      <w:widowControl w:val="0"/>
      <w:jc w:val="both"/>
    </w:pPr>
    <w:rPr>
      <w:rFonts w:ascii="Calibri" w:hAnsi="Calibri" w:eastAsia="宋体"/>
      <w:kern w:val="2"/>
      <w:sz w:val="21"/>
      <w:szCs w:val="22"/>
      <w:lang w:val="en-US" w:eastAsia="zh-CN" w:bidi="ar-SA"/>
    </w:rPr>
  </w:style>
  <w:style w:type="paragraph" w:customStyle="1" w:styleId="14">
    <w:name w:val="_Style 8"/>
    <w:basedOn w:val="1"/>
    <w:qFormat/>
    <w:uiPriority w:val="34"/>
    <w:pPr>
      <w:ind w:firstLine="420" w:firstLineChars="200"/>
    </w:pPr>
  </w:style>
  <w:style w:type="paragraph" w:customStyle="1" w:styleId="15">
    <w:name w:val="图"/>
    <w:basedOn w:val="1"/>
    <w:uiPriority w:val="0"/>
    <w:pPr>
      <w:keepNext/>
      <w:adjustRightInd w:val="0"/>
      <w:snapToGrid w:val="0"/>
      <w:spacing w:before="60" w:after="60" w:line="300" w:lineRule="auto"/>
      <w:jc w:val="center"/>
    </w:pPr>
    <w:rPr>
      <w:rFonts w:ascii="Times New Roman" w:hAnsi="Times New Roman" w:eastAsia="宋体" w:cs="Times New Roman"/>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2C373E"/>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Office_10.1.0.5601_F1E327BC-269C-435d-A152-05C5408002CA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2019-09-30T06:18:00Z</dcterms:created>
  <dc:creator>郑晓锷</dc:creator>
  <cp:lastModifiedBy>郑晓锷</cp:lastModifiedBy>
  <dcterms:modified xsi:type="dcterms:W3CDTF">2019-09-30T06:43:54Z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2052-10.1.0.5601</vt:lpwstr>
  </property>
</Properties>
</file>